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EB1F4">
      <w:pPr>
        <w:widowControl/>
        <w:shd w:val="clear" w:color="FFFFFF" w:fill="FFFFFF"/>
        <w:spacing w:before="640" w:after="560" w:line="460" w:lineRule="exact"/>
        <w:jc w:val="center"/>
        <w:rPr>
          <w:rFonts w:ascii="黑体" w:eastAsia="黑体"/>
          <w:kern w:val="0"/>
          <w:sz w:val="32"/>
          <w:szCs w:val="20"/>
          <w:highlight w:val="none"/>
        </w:rPr>
      </w:pPr>
      <w:bookmarkStart w:id="0" w:name="标准封面"/>
      <w:bookmarkEnd w:id="0"/>
      <w:r>
        <w:rPr>
          <w:rFonts w:ascii="黑体" w:eastAsia="黑体"/>
          <w:kern w:val="0"/>
          <w:sz w:val="32"/>
          <w:szCs w:val="20"/>
          <w:highlight w:val="none"/>
        </w:rPr>
        <mc:AlternateContent>
          <mc:Choice Requires="wps">
            <w:drawing>
              <wp:anchor distT="0" distB="0" distL="114300" distR="114300" simplePos="0" relativeHeight="251660288" behindDoc="0" locked="0" layoutInCell="1" allowOverlap="1">
                <wp:simplePos x="0" y="0"/>
                <wp:positionH relativeFrom="column">
                  <wp:posOffset>2204720</wp:posOffset>
                </wp:positionH>
                <wp:positionV relativeFrom="paragraph">
                  <wp:posOffset>-175895</wp:posOffset>
                </wp:positionV>
                <wp:extent cx="3960495" cy="1629410"/>
                <wp:effectExtent l="0" t="0" r="1905" b="8890"/>
                <wp:wrapNone/>
                <wp:docPr id="2" name="首页自画框图2"/>
                <wp:cNvGraphicFramePr/>
                <a:graphic xmlns:a="http://schemas.openxmlformats.org/drawingml/2006/main">
                  <a:graphicData uri="http://schemas.microsoft.com/office/word/2010/wordprocessingShape">
                    <wps:wsp>
                      <wps:cNvSpPr txBox="1"/>
                      <wps:spPr>
                        <a:xfrm>
                          <a:off x="0" y="0"/>
                          <a:ext cx="3960495" cy="1629410"/>
                        </a:xfrm>
                        <a:prstGeom prst="rect">
                          <a:avLst/>
                        </a:prstGeom>
                        <a:solidFill>
                          <a:sysClr val="window" lastClr="FFFFFF"/>
                        </a:solidFill>
                        <a:ln w="6350">
                          <a:noFill/>
                        </a:ln>
                        <a:effectLst/>
                      </wps:spPr>
                      <wps:txbx>
                        <w:txbxContent>
                          <w:p w14:paraId="0164EF92">
                            <w:pPr>
                              <w:pStyle w:val="104"/>
                            </w:pPr>
                            <w:r>
                              <w:rPr>
                                <w:rFonts w:hint="eastAsia"/>
                              </w:rPr>
                              <w:t>YY</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173.6pt;margin-top:-13.85pt;height:128.3pt;width:311.85pt;z-index:251660288;mso-width-relative:page;mso-height-relative:page;" fillcolor="#FFFFFF" filled="t" stroked="f" coordsize="21600,21600" o:gfxdata="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RxTRTbAAAACwEAAA8AAAAAAAAAAQAgAAAAIgAAAGRycy9k&#10;b3ducmV2LnhtbFBLAQIUABQAAAAIAIdO4kDpg6PycQIAAKoEAAAOAAAAAAAAAAEAIAAAACoBAABk&#10;cnMvZTJvRG9jLnhtbFBLBQYAAAAABgAGAFkBAAANBgAAAAA=&#10;">
                <v:fill on="t" focussize="0,0"/>
                <v:stroke on="f" weight="0.5pt"/>
                <v:imagedata o:title=""/>
                <o:lock v:ext="edit" aspectratio="f"/>
                <v:textbox inset="0mm,0mm,2.54mm,0mm">
                  <w:txbxContent>
                    <w:p w14:paraId="0164EF92">
                      <w:pPr>
                        <w:pStyle w:val="104"/>
                      </w:pPr>
                      <w:r>
                        <w:rPr>
                          <w:rFonts w:hint="eastAsia"/>
                        </w:rPr>
                        <w:t>YY</w:t>
                      </w:r>
                    </w:p>
                  </w:txbxContent>
                </v:textbox>
              </v:shape>
            </w:pict>
          </mc:Fallback>
        </mc:AlternateContent>
      </w:r>
      <w:r>
        <w:rPr>
          <w:rFonts w:ascii="黑体" w:eastAsia="黑体"/>
          <w:kern w:val="0"/>
          <w:sz w:val="32"/>
          <w:szCs w:val="20"/>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26035</wp:posOffset>
                </wp:positionV>
                <wp:extent cx="1800225" cy="720090"/>
                <wp:effectExtent l="0" t="0" r="13335" b="1143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ysClr val="window" lastClr="FFFFFF"/>
                        </a:solidFill>
                        <a:ln w="6350">
                          <a:noFill/>
                        </a:ln>
                        <a:effectLst/>
                      </wps:spPr>
                      <wps:txbx>
                        <w:txbxContent>
                          <w:p w14:paraId="497943E7">
                            <w:pPr>
                              <w:pStyle w:val="110"/>
                            </w:pPr>
                            <w:r>
                              <w:rPr>
                                <w:rFonts w:hint="eastAsia"/>
                              </w:rPr>
                              <w:t>ICS 11.040.60</w:t>
                            </w:r>
                          </w:p>
                          <w:p w14:paraId="4C2EE08D">
                            <w:pPr>
                              <w:pStyle w:val="110"/>
                            </w:pPr>
                            <w:r>
                              <w:rPr>
                                <w:rFonts w:hint="eastAsia"/>
                              </w:rPr>
                              <w:t>CCS C39</w:t>
                            </w:r>
                          </w:p>
                          <w:p w14:paraId="3D696B79">
                            <w:pPr>
                              <w:pStyle w:val="110"/>
                            </w:pPr>
                          </w:p>
                          <w:p w14:paraId="104CCA2A">
                            <w:pPr>
                              <w:pStyle w:val="110"/>
                            </w:pPr>
                          </w:p>
                          <w:p w14:paraId="6CF4727D">
                            <w:pPr>
                              <w:pStyle w:val="110"/>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0pt;margin-top:2.05pt;height:56.7pt;width:141.75pt;z-index:251659264;mso-width-relative:page;mso-height-relative:page;" fillcolor="#FFFFFF" filled="t" stroked="f" coordsize="21600,21600" o:gfxdata="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2l9yp1wAAAAYBAAAPAAAAAAAAAAEAIAAAACIAAABkcnMvZG93bnJldi54&#10;bWxQSwECFAAUAAAACACHTuJApZvKfm0CAACpBAAADgAAAAAAAAABACAAAAAmAQAAZHJzL2Uyb0Rv&#10;Yy54bWxQSwUGAAAAAAYABgBZAQAABQYAAAAA&#10;">
                <v:fill on="t" focussize="0,0"/>
                <v:stroke on="f" weight="0.5pt"/>
                <v:imagedata o:title=""/>
                <o:lock v:ext="edit" aspectratio="f"/>
                <v:textbox inset="0mm,0mm,2.54mm,0mm">
                  <w:txbxContent>
                    <w:p w14:paraId="497943E7">
                      <w:pPr>
                        <w:pStyle w:val="110"/>
                      </w:pPr>
                      <w:r>
                        <w:rPr>
                          <w:rFonts w:hint="eastAsia"/>
                        </w:rPr>
                        <w:t>ICS 11.040.60</w:t>
                      </w:r>
                    </w:p>
                    <w:p w14:paraId="4C2EE08D">
                      <w:pPr>
                        <w:pStyle w:val="110"/>
                      </w:pPr>
                      <w:r>
                        <w:rPr>
                          <w:rFonts w:hint="eastAsia"/>
                        </w:rPr>
                        <w:t>CCS C39</w:t>
                      </w:r>
                    </w:p>
                    <w:p w14:paraId="3D696B79">
                      <w:pPr>
                        <w:pStyle w:val="110"/>
                      </w:pPr>
                    </w:p>
                    <w:p w14:paraId="104CCA2A">
                      <w:pPr>
                        <w:pStyle w:val="110"/>
                      </w:pPr>
                    </w:p>
                    <w:p w14:paraId="6CF4727D">
                      <w:pPr>
                        <w:pStyle w:val="110"/>
                      </w:pPr>
                    </w:p>
                  </w:txbxContent>
                </v:textbox>
              </v:shape>
            </w:pict>
          </mc:Fallback>
        </mc:AlternateContent>
      </w:r>
    </w:p>
    <w:p w14:paraId="78D91F51">
      <w:pPr>
        <w:widowControl/>
        <w:ind w:firstLine="420" w:firstLineChars="200"/>
        <w:rPr>
          <w:rFonts w:ascii="宋体"/>
          <w:kern w:val="0"/>
          <w:szCs w:val="20"/>
          <w:highlight w:val="none"/>
        </w:rPr>
      </w:pPr>
    </w:p>
    <w:p w14:paraId="3C9354A5">
      <w:pPr>
        <w:widowControl/>
        <w:ind w:firstLine="420" w:firstLineChars="200"/>
        <w:rPr>
          <w:rFonts w:ascii="宋体"/>
          <w:kern w:val="0"/>
          <w:szCs w:val="20"/>
          <w:highlight w:val="none"/>
        </w:rPr>
      </w:pPr>
      <w:r>
        <w:rPr>
          <w:rFonts w:ascii="宋体"/>
          <w:kern w:val="0"/>
          <w:szCs w:val="20"/>
          <w:highlight w:val="none"/>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65405</wp:posOffset>
                </wp:positionV>
                <wp:extent cx="6120765" cy="431800"/>
                <wp:effectExtent l="0" t="0" r="5715" b="10160"/>
                <wp:wrapNone/>
                <wp:docPr id="3" name="首页自画框图3"/>
                <wp:cNvGraphicFramePr/>
                <a:graphic xmlns:a="http://schemas.openxmlformats.org/drawingml/2006/main">
                  <a:graphicData uri="http://schemas.microsoft.com/office/word/2010/wordprocessingShape">
                    <wps:wsp>
                      <wps:cNvSpPr txBox="1"/>
                      <wps:spPr>
                        <a:xfrm>
                          <a:off x="0" y="0"/>
                          <a:ext cx="6120765" cy="431800"/>
                        </a:xfrm>
                        <a:prstGeom prst="rect">
                          <a:avLst/>
                        </a:prstGeom>
                        <a:solidFill>
                          <a:sysClr val="window" lastClr="FFFFFF"/>
                        </a:solidFill>
                        <a:ln w="6350">
                          <a:noFill/>
                        </a:ln>
                        <a:effectLst/>
                      </wps:spPr>
                      <wps:txbx>
                        <w:txbxContent>
                          <w:p w14:paraId="26AA3E20">
                            <w:pPr>
                              <w:pStyle w:val="111"/>
                            </w:pPr>
                            <w:r>
                              <w:t>中华人民共和国医药行业标准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6.35pt;margin-top:5.15pt;height:34pt;width:481.95pt;z-index:251661312;mso-width-relative:page;mso-height-relative:page;" fillcolor="#FFFFFF" filled="t" stroked="f" coordsize="21600,21600" o:gfxdata="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6cZrq2AAAAAgBAAAPAAAAAAAAAAEAIAAAACIAAABkcnMvZG93bnJl&#10;di54bWxQSwECFAAUAAAACACHTuJAK6enjW8CAACpBAAADgAAAAAAAAABACAAAAAnAQAAZHJzL2Uy&#10;b0RvYy54bWxQSwUGAAAAAAYABgBZAQAACAYAAAAA&#10;">
                <v:fill on="t" focussize="0,0"/>
                <v:stroke on="f" weight="0.5pt"/>
                <v:imagedata o:title=""/>
                <o:lock v:ext="edit" aspectratio="f"/>
                <v:textbox inset="0mm,0mm,2.54mm,0mm">
                  <w:txbxContent>
                    <w:p w14:paraId="26AA3E20">
                      <w:pPr>
                        <w:pStyle w:val="111"/>
                      </w:pPr>
                      <w:r>
                        <w:t>中华人民共和国医药行业标准</w:t>
                      </w:r>
                    </w:p>
                  </w:txbxContent>
                </v:textbox>
              </v:shape>
            </w:pict>
          </mc:Fallback>
        </mc:AlternateContent>
      </w:r>
    </w:p>
    <w:p w14:paraId="7E70889F">
      <w:pPr>
        <w:widowControl/>
        <w:rPr>
          <w:rFonts w:ascii="宋体"/>
          <w:kern w:val="0"/>
          <w:szCs w:val="20"/>
          <w:highlight w:val="none"/>
        </w:rPr>
        <w:sectPr>
          <w:headerReference r:id="rId3" w:type="default"/>
          <w:footerReference r:id="rId5" w:type="default"/>
          <w:headerReference r:id="rId4" w:type="even"/>
          <w:footerReference r:id="rId6" w:type="even"/>
          <w:type w:val="continuous"/>
          <w:pgSz w:w="11907" w:h="16839"/>
          <w:pgMar w:top="284" w:right="851" w:bottom="1134" w:left="1418" w:header="284" w:footer="1134" w:gutter="0"/>
          <w:pgNumType w:fmt="upperRoman" w:start="1"/>
          <w:cols w:space="425" w:num="1"/>
          <w:titlePg/>
          <w:docGrid w:linePitch="312" w:charSpace="0"/>
        </w:sectPr>
      </w:pPr>
      <w:r>
        <w:rPr>
          <w:rFonts w:ascii="宋体"/>
          <w:kern w:val="0"/>
          <w:szCs w:val="20"/>
          <w:highlight w:val="none"/>
        </w:rPr>
        <mc:AlternateContent>
          <mc:Choice Requires="wps">
            <w:drawing>
              <wp:anchor distT="0" distB="0" distL="114300" distR="114300" simplePos="0" relativeHeight="251668480" behindDoc="0" locked="0" layoutInCell="1" allowOverlap="1">
                <wp:simplePos x="0" y="0"/>
                <wp:positionH relativeFrom="page">
                  <wp:posOffset>2574290</wp:posOffset>
                </wp:positionH>
                <wp:positionV relativeFrom="page">
                  <wp:posOffset>9450070</wp:posOffset>
                </wp:positionV>
                <wp:extent cx="2071370" cy="234950"/>
                <wp:effectExtent l="0" t="0" r="7620" b="0"/>
                <wp:wrapNone/>
                <wp:docPr id="10" name="首页自画框图7"/>
                <wp:cNvGraphicFramePr/>
                <a:graphic xmlns:a="http://schemas.openxmlformats.org/drawingml/2006/main">
                  <a:graphicData uri="http://schemas.microsoft.com/office/word/2010/wordprocessingShape">
                    <wps:wsp>
                      <wps:cNvSpPr txBox="1"/>
                      <wps:spPr>
                        <a:xfrm>
                          <a:off x="0" y="0"/>
                          <a:ext cx="2071370" cy="234950"/>
                        </a:xfrm>
                        <a:prstGeom prst="rect">
                          <a:avLst/>
                        </a:prstGeom>
                        <a:solidFill>
                          <a:sysClr val="window" lastClr="FFFFFF"/>
                        </a:solidFill>
                        <a:ln w="6350">
                          <a:noFill/>
                        </a:ln>
                        <a:effectLst/>
                      </wps:spPr>
                      <wps:txbx>
                        <w:txbxContent>
                          <w:p w14:paraId="46B9812A">
                            <w:pPr>
                              <w:pStyle w:val="112"/>
                              <w:jc w:val="left"/>
                            </w:pPr>
                            <w:r>
                              <w:t>国家药品监督管理局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202.7pt;margin-top:744.1pt;height:18.5pt;width:163.1pt;mso-position-horizontal-relative:page;mso-position-vertical-relative:page;mso-wrap-style:none;z-index:251668480;mso-width-relative:page;mso-height-relative:page;" fillcolor="#FFFFFF" filled="t" stroked="f" coordsize="21600,21600" o:gfxdata="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EIsedwAAAANAQAADwAAAAAAAAABACAAAAAiAAAAZHJzL2Rvd25yZXYueG1s&#10;UEsBAhQAFAAAAAgAh07iQFt7ruxmAgAApAQAAA4AAAAAAAAAAQAgAAAAKwEAAGRycy9lMm9Eb2Mu&#10;eG1sUEsFBgAAAAAGAAYAWQEAAAMGAAAAAA==&#10;">
                <v:fill on="t" focussize="0,0"/>
                <v:stroke on="f" weight="0.5pt"/>
                <v:imagedata o:title=""/>
                <o:lock v:ext="edit" aspectratio="f"/>
                <v:textbox inset="0mm,0mm,0mm,0mm">
                  <w:txbxContent>
                    <w:p w14:paraId="46B9812A">
                      <w:pPr>
                        <w:pStyle w:val="112"/>
                        <w:jc w:val="left"/>
                      </w:pPr>
                      <w:r>
                        <w:t>国家药品监督管理局</w:t>
                      </w:r>
                    </w:p>
                  </w:txbxContent>
                </v:textbox>
              </v:shape>
            </w:pict>
          </mc:Fallback>
        </mc:AlternateContent>
      </w:r>
      <w:r>
        <w:rPr>
          <w:rFonts w:ascii="宋体"/>
          <w:kern w:val="0"/>
          <w:szCs w:val="20"/>
          <w:highlight w:val="none"/>
        </w:rPr>
        <mc:AlternateContent>
          <mc:Choice Requires="wps">
            <w:drawing>
              <wp:anchor distT="0" distB="0" distL="114300" distR="114300" simplePos="0" relativeHeight="251669504" behindDoc="0" locked="0" layoutInCell="1" allowOverlap="1">
                <wp:simplePos x="0" y="0"/>
                <wp:positionH relativeFrom="page">
                  <wp:posOffset>4927600</wp:posOffset>
                </wp:positionH>
                <wp:positionV relativeFrom="page">
                  <wp:posOffset>9463405</wp:posOffset>
                </wp:positionV>
                <wp:extent cx="899795" cy="184150"/>
                <wp:effectExtent l="0" t="0" r="0" b="6350"/>
                <wp:wrapNone/>
                <wp:docPr id="11" name="首页自画框图8"/>
                <wp:cNvGraphicFramePr/>
                <a:graphic xmlns:a="http://schemas.openxmlformats.org/drawingml/2006/main">
                  <a:graphicData uri="http://schemas.microsoft.com/office/word/2010/wordprocessingShape">
                    <wps:wsp>
                      <wps:cNvSpPr txBox="1"/>
                      <wps:spPr>
                        <a:xfrm>
                          <a:off x="0" y="0"/>
                          <a:ext cx="899795" cy="184150"/>
                        </a:xfrm>
                        <a:prstGeom prst="rect">
                          <a:avLst/>
                        </a:prstGeom>
                        <a:solidFill>
                          <a:sysClr val="window" lastClr="FFFFFF"/>
                        </a:solidFill>
                        <a:ln w="6350">
                          <a:noFill/>
                        </a:ln>
                        <a:effectLst/>
                      </wps:spPr>
                      <wps:txbx>
                        <w:txbxContent>
                          <w:p w14:paraId="47421989">
                            <w:pPr>
                              <w:spacing w:line="280" w:lineRule="exact"/>
                              <w:rPr>
                                <w:rFonts w:ascii="黑体" w:eastAsia="黑体"/>
                                <w:sz w:val="28"/>
                              </w:rPr>
                            </w:pPr>
                            <w:r>
                              <w:rPr>
                                <w:rFonts w:hint="eastAsia" w:ascii="黑体" w:eastAsia="黑体"/>
                                <w:sz w:val="28"/>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388pt;margin-top:745.15pt;height:14.5pt;width:70.85pt;mso-position-horizontal-relative:page;mso-position-vertical-relative:page;mso-wrap-style:none;z-index:251669504;mso-width-relative:page;mso-height-relative:page;" fillcolor="#FFFFFF" filled="t" stroked="f" coordsize="21600,21600" o:gfxdata="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rM5c9wAAAANAQAADwAAAAAAAAABACAAAAAiAAAAZHJzL2Rvd25yZXYueG1s&#10;UEsBAhQAFAAAAAgAh07iQOPJ6Q9mAgAAowQAAA4AAAAAAAAAAQAgAAAAKwEAAGRycy9lMm9Eb2Mu&#10;eG1sUEsFBgAAAAAGAAYAWQEAAAMGAAAAAA==&#10;">
                <v:fill on="t" focussize="0,0"/>
                <v:stroke on="f" weight="0.5pt"/>
                <v:imagedata o:title=""/>
                <o:lock v:ext="edit" aspectratio="f"/>
                <v:textbox inset="0mm,0mm,0mm,0mm">
                  <w:txbxContent>
                    <w:p w14:paraId="47421989">
                      <w:pPr>
                        <w:spacing w:line="280" w:lineRule="exact"/>
                        <w:rPr>
                          <w:rFonts w:ascii="黑体" w:eastAsia="黑体"/>
                          <w:sz w:val="28"/>
                        </w:rPr>
                      </w:pPr>
                      <w:r>
                        <w:rPr>
                          <w:rFonts w:hint="eastAsia" w:ascii="黑体" w:eastAsia="黑体"/>
                          <w:sz w:val="28"/>
                        </w:rPr>
                        <w:t>发  布</w:t>
                      </w:r>
                    </w:p>
                  </w:txbxContent>
                </v:textbox>
              </v:shape>
            </w:pict>
          </mc:Fallback>
        </mc:AlternateContent>
      </w:r>
      <w:r>
        <w:rPr>
          <w:rFonts w:ascii="宋体"/>
          <w:kern w:val="0"/>
          <w:szCs w:val="20"/>
          <w:highlight w:val="none"/>
        </w:rPr>
        <mc:AlternateContent>
          <mc:Choice Requires="wps">
            <w:drawing>
              <wp:anchor distT="0" distB="0" distL="114300" distR="114300" simplePos="0" relativeHeight="251662336" behindDoc="0" locked="0" layoutInCell="1" allowOverlap="1">
                <wp:simplePos x="0" y="0"/>
                <wp:positionH relativeFrom="column">
                  <wp:posOffset>1638935</wp:posOffset>
                </wp:positionH>
                <wp:positionV relativeFrom="paragraph">
                  <wp:posOffset>495300</wp:posOffset>
                </wp:positionV>
                <wp:extent cx="4320540" cy="720090"/>
                <wp:effectExtent l="0" t="0" r="7620" b="11430"/>
                <wp:wrapNone/>
                <wp:docPr id="4" name="首页自画框图3"/>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ysClr val="window" lastClr="FFFFFF"/>
                        </a:solidFill>
                        <a:ln w="6350">
                          <a:noFill/>
                        </a:ln>
                        <a:effectLst/>
                      </wps:spPr>
                      <wps:txbx>
                        <w:txbxContent>
                          <w:p w14:paraId="4A6FF677">
                            <w:pPr>
                              <w:pStyle w:val="80"/>
                              <w:widowControl w:val="0"/>
                              <w:kinsoku w:val="0"/>
                              <w:overflowPunct w:val="0"/>
                              <w:autoSpaceDE w:val="0"/>
                              <w:autoSpaceDN w:val="0"/>
                              <w:adjustRightInd w:val="0"/>
                              <w:spacing w:before="0" w:line="360" w:lineRule="exact"/>
                              <w:textAlignment w:val="center"/>
                              <w:rPr>
                                <w:rFonts w:ascii="黑体" w:eastAsia="黑体"/>
                                <w:sz w:val="28"/>
                                <w:szCs w:val="20"/>
                              </w:rPr>
                            </w:pPr>
                            <w:r>
                              <w:rPr>
                                <w:rFonts w:ascii="黑体" w:eastAsia="黑体"/>
                                <w:sz w:val="28"/>
                                <w:szCs w:val="20"/>
                              </w:rPr>
                              <w:t>YY/T XXXX-20XX</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129.05pt;margin-top:39pt;height:56.7pt;width:340.2pt;z-index:251662336;mso-width-relative:page;mso-height-relative:page;" fillcolor="#FFFFFF" filled="t" stroked="f" coordsize="21600,21600" o:gfxdata="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4gKpatoAAAAKAQAADwAAAAAAAAABACAAAAAiAAAAZHJzL2Rvd25y&#10;ZXYueG1sUEsBAhQAFAAAAAgAh07iQAhND/puAgAAqQQAAA4AAAAAAAAAAQAgAAAAKQEAAGRycy9l&#10;Mm9Eb2MueG1sUEsFBgAAAAAGAAYAWQEAAAkGAAAAAA==&#10;">
                <v:fill on="t" focussize="0,0"/>
                <v:stroke on="f" weight="0.5pt"/>
                <v:imagedata o:title=""/>
                <o:lock v:ext="edit" aspectratio="f"/>
                <v:textbox inset="0mm,0mm,2.54mm,0mm">
                  <w:txbxContent>
                    <w:p w14:paraId="4A6FF677">
                      <w:pPr>
                        <w:pStyle w:val="80"/>
                        <w:widowControl w:val="0"/>
                        <w:kinsoku w:val="0"/>
                        <w:overflowPunct w:val="0"/>
                        <w:autoSpaceDE w:val="0"/>
                        <w:autoSpaceDN w:val="0"/>
                        <w:adjustRightInd w:val="0"/>
                        <w:spacing w:before="0" w:line="360" w:lineRule="exact"/>
                        <w:textAlignment w:val="center"/>
                        <w:rPr>
                          <w:rFonts w:ascii="黑体" w:eastAsia="黑体"/>
                          <w:sz w:val="28"/>
                          <w:szCs w:val="20"/>
                        </w:rPr>
                      </w:pPr>
                      <w:r>
                        <w:rPr>
                          <w:rFonts w:ascii="黑体" w:eastAsia="黑体"/>
                          <w:sz w:val="28"/>
                          <w:szCs w:val="20"/>
                        </w:rPr>
                        <w:t>YY/T XXXX-20XX</w:t>
                      </w:r>
                    </w:p>
                  </w:txbxContent>
                </v:textbox>
              </v:shape>
            </w:pict>
          </mc:Fallback>
        </mc:AlternateContent>
      </w:r>
      <w:r>
        <w:rPr>
          <w:rFonts w:ascii="宋体"/>
          <w:kern w:val="0"/>
          <w:szCs w:val="20"/>
          <w:highlight w:val="none"/>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6350" r="0" b="6350"/>
                <wp:wrapNone/>
                <wp:docPr id="9"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首页自画框图6" o:spid="_x0000_s1026" o:spt="20" style="position:absolute;left:0pt;margin-left:-0.9pt;margin-top:591.5pt;height:0pt;width:482pt;z-index:251667456;mso-width-relative:page;mso-height-relative:page;" filled="f" stroked="t" coordsize="21600,21600" o:gfxdata="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OF65dgAAAAMAQAADwAAAAAAAAABACAAAAAiAAAAZHJzL2Rvd25yZXYueG1sUEsBAhQAFAAA&#10;AAgAh07iQCh+2WPvAQAAwgMAAA4AAAAAAAAAAQAgAAAAJwEAAGRycy9lMm9Eb2MueG1sUEsFBgAA&#10;AAAGAAYAWQEAAIgFAAAAAA==&#10;">
                <v:fill on="f" focussize="0,0"/>
                <v:stroke weight="1pt" color="#000000" miterlimit="8" joinstyle="miter"/>
                <v:imagedata o:title=""/>
                <o:lock v:ext="edit" aspectratio="f"/>
              </v:line>
            </w:pict>
          </mc:Fallback>
        </mc:AlternateContent>
      </w:r>
      <w:r>
        <w:rPr>
          <w:rFonts w:ascii="宋体"/>
          <w:kern w:val="0"/>
          <w:szCs w:val="20"/>
          <w:highlight w:val="none"/>
        </w:rPr>
        <mc:AlternateContent>
          <mc:Choice Requires="wps">
            <w:drawing>
              <wp:anchor distT="0" distB="0" distL="114300" distR="114300" simplePos="0" relativeHeight="251666432" behindDoc="0" locked="0" layoutInCell="1" allowOverlap="1">
                <wp:simplePos x="0" y="0"/>
                <wp:positionH relativeFrom="column">
                  <wp:posOffset>3239770</wp:posOffset>
                </wp:positionH>
                <wp:positionV relativeFrom="paragraph">
                  <wp:posOffset>7159625</wp:posOffset>
                </wp:positionV>
                <wp:extent cx="2880360" cy="360045"/>
                <wp:effectExtent l="0" t="0" r="0" b="5715"/>
                <wp:wrapNone/>
                <wp:docPr id="8"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ysClr val="window" lastClr="FFFFFF"/>
                        </a:solidFill>
                        <a:ln w="6350">
                          <a:noFill/>
                        </a:ln>
                        <a:effectLst/>
                      </wps:spPr>
                      <wps:txbx>
                        <w:txbxContent>
                          <w:p w14:paraId="37C75682">
                            <w:pPr>
                              <w:pStyle w:val="79"/>
                              <w:jc w:val="right"/>
                              <w:rPr>
                                <w:rFonts w:hint="eastAsia" w:ascii="黑体" w:hAnsi="黑体"/>
                              </w:rPr>
                            </w:pPr>
                            <w:r>
                              <w:rPr>
                                <w:rFonts w:hint="eastAsia" w:ascii="黑体" w:hAnsi="黑体"/>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255.1pt;margin-top:563.75pt;height:28.35pt;width:226.8pt;z-index:251666432;mso-width-relative:page;mso-height-relative:page;" fillcolor="#FFFFFF" filled="t" stroked="f" coordsize="21600,21600" o:gfxdata="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H7TTKdwAAAANAQAADwAAAAAAAAABACAAAAAiAAAAZHJzL2Rvd25y&#10;ZXYueG1sUEsBAhQAFAAAAAgAh07iQHSGWSFsAgAAqQQAAA4AAAAAAAAAAQAgAAAAKwEAAGRycy9l&#10;Mm9Eb2MueG1sUEsFBgAAAAAGAAYAWQEAAAkGAAAAAA==&#10;">
                <v:fill on="t" focussize="0,0"/>
                <v:stroke on="f" weight="0.5pt"/>
                <v:imagedata o:title=""/>
                <o:lock v:ext="edit" aspectratio="f"/>
                <v:textbox inset="0mm,0mm,2.54mm,0mm">
                  <w:txbxContent>
                    <w:p w14:paraId="37C75682">
                      <w:pPr>
                        <w:pStyle w:val="79"/>
                        <w:jc w:val="right"/>
                        <w:rPr>
                          <w:rFonts w:hint="eastAsia" w:ascii="黑体" w:hAnsi="黑体"/>
                        </w:rPr>
                      </w:pPr>
                      <w:r>
                        <w:rPr>
                          <w:rFonts w:hint="eastAsia" w:ascii="黑体" w:hAnsi="黑体"/>
                        </w:rPr>
                        <w:t>20XX—XX—XX实施</w:t>
                      </w:r>
                    </w:p>
                  </w:txbxContent>
                </v:textbox>
              </v:shape>
            </w:pict>
          </mc:Fallback>
        </mc:AlternateContent>
      </w:r>
      <w:r>
        <w:rPr>
          <w:rFonts w:ascii="宋体"/>
          <w:kern w:val="0"/>
          <w:szCs w:val="20"/>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7159625</wp:posOffset>
                </wp:positionV>
                <wp:extent cx="2880360" cy="360045"/>
                <wp:effectExtent l="0" t="0" r="0" b="5715"/>
                <wp:wrapNone/>
                <wp:docPr id="7"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ysClr val="window" lastClr="FFFFFF"/>
                        </a:solidFill>
                        <a:ln w="6350">
                          <a:noFill/>
                        </a:ln>
                        <a:effectLst/>
                      </wps:spPr>
                      <wps:txbx>
                        <w:txbxContent>
                          <w:p w14:paraId="2928A3C0">
                            <w:pPr>
                              <w:pStyle w:val="79"/>
                              <w:rPr>
                                <w:rFonts w:hint="eastAsia" w:ascii="黑体" w:hAnsi="黑体"/>
                              </w:rPr>
                            </w:pPr>
                            <w:r>
                              <w:rPr>
                                <w:rFonts w:hint="eastAsia" w:ascii="黑体" w:hAnsi="黑体"/>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0pt;margin-top:563.75pt;height:28.35pt;width:226.8pt;z-index:251665408;mso-width-relative:page;mso-height-relative:page;" fillcolor="#FFFFFF" filled="t" stroked="f" coordsize="21600,21600" o:gfxdata="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BaWc7aAAAACgEAAA8AAAAAAAAAAQAgAAAAIgAAAGRycy9kb3ducmV2&#10;LnhtbFBLAQIUABQAAAAIAIdO4kBEysNJbAIAAKkEAAAOAAAAAAAAAAEAIAAAACkBAABkcnMvZTJv&#10;RG9jLnhtbFBLBQYAAAAABgAGAFkBAAAHBgAAAAA=&#10;">
                <v:fill on="t" focussize="0,0"/>
                <v:stroke on="f" weight="0.5pt"/>
                <v:imagedata o:title=""/>
                <o:lock v:ext="edit" aspectratio="f"/>
                <v:textbox inset="0mm,0mm,2.54mm,0mm">
                  <w:txbxContent>
                    <w:p w14:paraId="2928A3C0">
                      <w:pPr>
                        <w:pStyle w:val="79"/>
                        <w:rPr>
                          <w:rFonts w:hint="eastAsia" w:ascii="黑体" w:hAnsi="黑体"/>
                        </w:rPr>
                      </w:pPr>
                      <w:r>
                        <w:rPr>
                          <w:rFonts w:hint="eastAsia" w:ascii="黑体" w:hAnsi="黑体"/>
                        </w:rPr>
                        <w:t>20XX—XX—XX发布</w:t>
                      </w:r>
                    </w:p>
                  </w:txbxContent>
                </v:textbox>
              </v:shape>
            </w:pict>
          </mc:Fallback>
        </mc:AlternateContent>
      </w:r>
      <w:bookmarkStart w:id="123" w:name="_GoBack"/>
      <w:bookmarkEnd w:id="123"/>
      <w:r>
        <w:rPr>
          <w:rFonts w:ascii="宋体"/>
          <w:kern w:val="0"/>
          <w:szCs w:val="20"/>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2406650</wp:posOffset>
                </wp:positionV>
                <wp:extent cx="6120765" cy="4320540"/>
                <wp:effectExtent l="0" t="0" r="5715" b="7620"/>
                <wp:wrapNone/>
                <wp:docPr id="6" name="首页自画框图4"/>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ysClr val="window" lastClr="FFFFFF"/>
                        </a:solidFill>
                        <a:ln w="6350">
                          <a:noFill/>
                        </a:ln>
                        <a:effectLst/>
                      </wps:spPr>
                      <wps:txbx>
                        <w:txbxContent>
                          <w:p w14:paraId="5EF4367A">
                            <w:pPr>
                              <w:pStyle w:val="76"/>
                            </w:pPr>
                            <w:r>
                              <w:rPr>
                                <w:rFonts w:hint="eastAsia"/>
                              </w:rPr>
                              <w:t>血管内冲击波治疗设备</w:t>
                            </w:r>
                          </w:p>
                          <w:p w14:paraId="59DACD0C">
                            <w:pPr>
                              <w:pStyle w:val="88"/>
                              <w:spacing w:before="680"/>
                              <w:rPr>
                                <w:rFonts w:ascii="黑体" w:eastAsia="黑体"/>
                              </w:rPr>
                            </w:pPr>
                            <w:r>
                              <w:rPr>
                                <w:rFonts w:ascii="黑体" w:eastAsia="黑体"/>
                              </w:rPr>
                              <w:t>Intravascular shock wave treatment equipment</w:t>
                            </w:r>
                          </w:p>
                          <w:p w14:paraId="39F92053">
                            <w:pPr>
                              <w:pStyle w:val="88"/>
                              <w:spacing w:before="680"/>
                              <w:rPr>
                                <w:rFonts w:hint="eastAsia" w:ascii="黑体" w:eastAsia="黑体"/>
                              </w:rPr>
                            </w:pPr>
                            <w:r>
                              <w:rPr>
                                <w:rFonts w:hint="eastAsia" w:ascii="黑体" w:eastAsia="黑体"/>
                              </w:rPr>
                              <w:t>（</w:t>
                            </w:r>
                            <w:r>
                              <w:rPr>
                                <w:rFonts w:hint="eastAsia" w:ascii="黑体" w:eastAsia="黑体"/>
                                <w:lang w:val="en-US" w:eastAsia="zh-CN"/>
                              </w:rPr>
                              <w:t>征求意见稿</w:t>
                            </w:r>
                            <w:r>
                              <w:rPr>
                                <w:rFonts w:hint="eastAsia" w:ascii="黑体" w:eastAsia="黑体"/>
                              </w:rPr>
                              <w:t>）</w:t>
                            </w:r>
                          </w:p>
                          <w:p w14:paraId="3BBCADD2">
                            <w:pPr>
                              <w:pStyle w:val="88"/>
                              <w:rPr>
                                <w:rFonts w:hint="eastAsia"/>
                              </w:rPr>
                            </w:pPr>
                            <w:r>
                              <w:rPr>
                                <w:rFonts w:hint="eastAsia"/>
                              </w:rPr>
                              <w:t>在提交反馈意见时，请将您知道的相关专利连同支持性文件一并附上</w:t>
                            </w:r>
                          </w:p>
                          <w:p w14:paraId="539D080D">
                            <w:pPr>
                              <w:pStyle w:val="88"/>
                              <w:spacing w:before="680"/>
                              <w:rPr>
                                <w:rFonts w:hint="eastAsia" w:ascii="黑体" w:eastAsia="黑体"/>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0pt;margin-top:189.5pt;height:340.2pt;width:481.95pt;z-index:251664384;mso-width-relative:page;mso-height-relative:page;" fillcolor="#FFFFFF" filled="t" stroked="f" coordsize="21600,21600" o:gfxdata="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8NpOzZAAAACQEAAA8AAAAAAAAAAQAgAAAAIgAAAGRycy9kb3du&#10;cmV2LnhtbFBLAQIUABQAAAAIAIdO4kA4k64NcAIAAKoEAAAOAAAAAAAAAAEAIAAAACgBAABkcnMv&#10;ZTJvRG9jLnhtbFBLBQYAAAAABgAGAFkBAAAKBgAAAAA=&#10;">
                <v:fill on="t" focussize="0,0"/>
                <v:stroke on="f" weight="0.5pt"/>
                <v:imagedata o:title=""/>
                <o:lock v:ext="edit" aspectratio="f"/>
                <v:textbox inset="0mm,0mm,2.54mm,0mm">
                  <w:txbxContent>
                    <w:p w14:paraId="5EF4367A">
                      <w:pPr>
                        <w:pStyle w:val="76"/>
                      </w:pPr>
                      <w:r>
                        <w:rPr>
                          <w:rFonts w:hint="eastAsia"/>
                        </w:rPr>
                        <w:t>血管内冲击波治疗设备</w:t>
                      </w:r>
                    </w:p>
                    <w:p w14:paraId="59DACD0C">
                      <w:pPr>
                        <w:pStyle w:val="88"/>
                        <w:spacing w:before="680"/>
                        <w:rPr>
                          <w:rFonts w:ascii="黑体" w:eastAsia="黑体"/>
                        </w:rPr>
                      </w:pPr>
                      <w:r>
                        <w:rPr>
                          <w:rFonts w:ascii="黑体" w:eastAsia="黑体"/>
                        </w:rPr>
                        <w:t>Intravascular shock wave treatment equipment</w:t>
                      </w:r>
                    </w:p>
                    <w:p w14:paraId="39F92053">
                      <w:pPr>
                        <w:pStyle w:val="88"/>
                        <w:spacing w:before="680"/>
                        <w:rPr>
                          <w:rFonts w:hint="eastAsia" w:ascii="黑体" w:eastAsia="黑体"/>
                        </w:rPr>
                      </w:pPr>
                      <w:r>
                        <w:rPr>
                          <w:rFonts w:hint="eastAsia" w:ascii="黑体" w:eastAsia="黑体"/>
                        </w:rPr>
                        <w:t>（</w:t>
                      </w:r>
                      <w:r>
                        <w:rPr>
                          <w:rFonts w:hint="eastAsia" w:ascii="黑体" w:eastAsia="黑体"/>
                          <w:lang w:val="en-US" w:eastAsia="zh-CN"/>
                        </w:rPr>
                        <w:t>征求意见稿</w:t>
                      </w:r>
                      <w:r>
                        <w:rPr>
                          <w:rFonts w:hint="eastAsia" w:ascii="黑体" w:eastAsia="黑体"/>
                        </w:rPr>
                        <w:t>）</w:t>
                      </w:r>
                    </w:p>
                    <w:p w14:paraId="3BBCADD2">
                      <w:pPr>
                        <w:pStyle w:val="88"/>
                        <w:rPr>
                          <w:rFonts w:hint="eastAsia"/>
                        </w:rPr>
                      </w:pPr>
                      <w:r>
                        <w:rPr>
                          <w:rFonts w:hint="eastAsia"/>
                        </w:rPr>
                        <w:t>在提交反馈意见时，请将您知道的相关专利连同支持性文件一并附上</w:t>
                      </w:r>
                    </w:p>
                    <w:p w14:paraId="539D080D">
                      <w:pPr>
                        <w:pStyle w:val="88"/>
                        <w:spacing w:before="680"/>
                        <w:rPr>
                          <w:rFonts w:hint="eastAsia" w:ascii="黑体" w:eastAsia="黑体"/>
                        </w:rPr>
                      </w:pPr>
                    </w:p>
                  </w:txbxContent>
                </v:textbox>
              </v:shape>
            </w:pict>
          </mc:Fallback>
        </mc:AlternateContent>
      </w:r>
      <w:r>
        <w:rPr>
          <w:rFonts w:ascii="宋体"/>
          <w:kern w:val="0"/>
          <w:szCs w:val="20"/>
          <w:highlight w:val="none"/>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6350" r="0" b="6350"/>
                <wp:wrapNone/>
                <wp:docPr id="5" name="首页自画框图4"/>
                <wp:cNvGraphicFramePr/>
                <a:graphic xmlns:a="http://schemas.openxmlformats.org/drawingml/2006/main">
                  <a:graphicData uri="http://schemas.microsoft.com/office/word/2010/wordprocessingShape">
                    <wps:wsp>
                      <wps:cNvCnPr/>
                      <wps:spPr>
                        <a:xfrm>
                          <a:off x="0" y="0"/>
                          <a:ext cx="612140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首页自画框图4"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oKKHjYAAAACgEAAA8AAAAAAAAAAQAgAAAAIgAAAGRycy9kb3ducmV2LnhtbFBLAQIUABQA&#10;AAAIAIdO4kBQ4yqJ8AEAAMIDAAAOAAAAAAAAAAEAIAAAACcBAABkcnMvZTJvRG9jLnhtbFBLBQYA&#10;AAAABgAGAFkBAACJBQAAAAA=&#10;">
                <v:fill on="f" focussize="0,0"/>
                <v:stroke weight="1pt" color="#000000" miterlimit="8" joinstyle="miter"/>
                <v:imagedata o:title=""/>
                <o:lock v:ext="edit" aspectratio="f"/>
              </v:line>
            </w:pict>
          </mc:Fallback>
        </mc:AlternateContent>
      </w:r>
    </w:p>
    <w:p w14:paraId="2559D743">
      <w:pPr>
        <w:pStyle w:val="2"/>
        <w:spacing w:before="156" w:after="156"/>
        <w:jc w:val="center"/>
        <w:rPr>
          <w:rFonts w:ascii="Times New Roman"/>
          <w:highlight w:val="none"/>
        </w:rPr>
      </w:pPr>
      <w:bookmarkStart w:id="1" w:name="_Toc132899271"/>
      <w:bookmarkStart w:id="2" w:name="_Toc196489759"/>
      <w:bookmarkStart w:id="3" w:name="_Toc141065214"/>
      <w:bookmarkStart w:id="4" w:name="前言"/>
      <w:r>
        <w:rPr>
          <w:rFonts w:hint="eastAsia" w:ascii="Times New Roman"/>
          <w:b w:val="0"/>
          <w:sz w:val="32"/>
          <w:szCs w:val="32"/>
          <w:highlight w:val="none"/>
        </w:rPr>
        <w:t>目  次</w:t>
      </w:r>
      <w:bookmarkEnd w:id="1"/>
      <w:bookmarkEnd w:id="2"/>
    </w:p>
    <w:p w14:paraId="393B5C0E">
      <w:pPr>
        <w:pStyle w:val="21"/>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TOC \o "1-1" \h \z \u </w:instrText>
      </w:r>
      <w:r>
        <w:rPr>
          <w:highlight w:val="none"/>
        </w:rPr>
        <w:fldChar w:fldCharType="separate"/>
      </w:r>
      <w:r>
        <w:rPr>
          <w:rStyle w:val="37"/>
          <w:rFonts w:hint="eastAsia"/>
          <w:highlight w:val="none"/>
        </w:rPr>
        <w:fldChar w:fldCharType="begin"/>
      </w:r>
      <w:r>
        <w:rPr>
          <w:rStyle w:val="37"/>
          <w:rFonts w:hint="eastAsia"/>
          <w:highlight w:val="none"/>
        </w:rPr>
        <w:instrText xml:space="preserve"> </w:instrText>
      </w:r>
      <w:r>
        <w:rPr>
          <w:rFonts w:hint="eastAsia"/>
          <w:highlight w:val="none"/>
        </w:rPr>
        <w:instrText xml:space="preserve">HYPERLINK \l "_Toc196489759"</w:instrText>
      </w:r>
      <w:r>
        <w:rPr>
          <w:rStyle w:val="37"/>
          <w:rFonts w:hint="eastAsia"/>
          <w:highlight w:val="none"/>
        </w:rPr>
        <w:instrText xml:space="preserve"> </w:instrText>
      </w:r>
      <w:r>
        <w:rPr>
          <w:rStyle w:val="37"/>
          <w:rFonts w:hint="eastAsia"/>
          <w:highlight w:val="none"/>
        </w:rPr>
        <w:fldChar w:fldCharType="separate"/>
      </w:r>
      <w:r>
        <w:rPr>
          <w:rStyle w:val="37"/>
          <w:rFonts w:hint="eastAsia"/>
          <w:highlight w:val="none"/>
        </w:rPr>
        <w:t>目  次</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_Toc196489759 \h</w:instrText>
      </w:r>
      <w:r>
        <w:rPr>
          <w:rFonts w:hint="eastAsia"/>
          <w:highlight w:val="none"/>
        </w:rPr>
        <w:instrText xml:space="preserve"> </w:instrText>
      </w:r>
      <w:r>
        <w:rPr>
          <w:rFonts w:hint="eastAsia"/>
          <w:highlight w:val="none"/>
        </w:rPr>
        <w:fldChar w:fldCharType="separate"/>
      </w:r>
      <w:r>
        <w:rPr>
          <w:highlight w:val="none"/>
        </w:rPr>
        <w:t>I</w:t>
      </w:r>
      <w:r>
        <w:rPr>
          <w:rFonts w:hint="eastAsia"/>
          <w:highlight w:val="none"/>
        </w:rPr>
        <w:fldChar w:fldCharType="end"/>
      </w:r>
      <w:r>
        <w:rPr>
          <w:rStyle w:val="37"/>
          <w:rFonts w:hint="eastAsia"/>
          <w:highlight w:val="none"/>
        </w:rPr>
        <w:fldChar w:fldCharType="end"/>
      </w:r>
    </w:p>
    <w:p w14:paraId="35474A65">
      <w:pPr>
        <w:pStyle w:val="21"/>
        <w:rPr>
          <w:rFonts w:hint="eastAsia" w:asciiTheme="minorHAnsi" w:hAnsiTheme="minorHAnsi" w:eastAsiaTheme="minorEastAsia" w:cstheme="minorBidi"/>
          <w:sz w:val="22"/>
          <w:highlight w:val="none"/>
          <w14:ligatures w14:val="standardContextual"/>
        </w:rPr>
      </w:pPr>
      <w:r>
        <w:rPr>
          <w:rStyle w:val="37"/>
          <w:rFonts w:hint="eastAsia"/>
          <w:highlight w:val="none"/>
        </w:rPr>
        <w:fldChar w:fldCharType="begin"/>
      </w:r>
      <w:r>
        <w:rPr>
          <w:rStyle w:val="37"/>
          <w:rFonts w:hint="eastAsia"/>
          <w:highlight w:val="none"/>
        </w:rPr>
        <w:instrText xml:space="preserve"> </w:instrText>
      </w:r>
      <w:r>
        <w:rPr>
          <w:rFonts w:hint="eastAsia"/>
          <w:highlight w:val="none"/>
        </w:rPr>
        <w:instrText xml:space="preserve">HYPERLINK \l "_Toc196489760"</w:instrText>
      </w:r>
      <w:r>
        <w:rPr>
          <w:rStyle w:val="37"/>
          <w:rFonts w:hint="eastAsia"/>
          <w:highlight w:val="none"/>
        </w:rPr>
        <w:instrText xml:space="preserve"> </w:instrText>
      </w:r>
      <w:r>
        <w:rPr>
          <w:rStyle w:val="37"/>
          <w:rFonts w:hint="eastAsia"/>
          <w:highlight w:val="none"/>
        </w:rPr>
        <w:fldChar w:fldCharType="separate"/>
      </w:r>
      <w:r>
        <w:rPr>
          <w:rStyle w:val="37"/>
          <w:rFonts w:hint="eastAsia"/>
          <w:highlight w:val="none"/>
        </w:rPr>
        <w:t>前  言</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_Toc196489760 \h</w:instrText>
      </w:r>
      <w:r>
        <w:rPr>
          <w:rFonts w:hint="eastAsia"/>
          <w:highlight w:val="none"/>
        </w:rPr>
        <w:instrText xml:space="preserve"> </w:instrText>
      </w:r>
      <w:r>
        <w:rPr>
          <w:rFonts w:hint="eastAsia"/>
          <w:highlight w:val="none"/>
        </w:rPr>
        <w:fldChar w:fldCharType="separate"/>
      </w:r>
      <w:r>
        <w:rPr>
          <w:highlight w:val="none"/>
        </w:rPr>
        <w:t>II</w:t>
      </w:r>
      <w:r>
        <w:rPr>
          <w:rFonts w:hint="eastAsia"/>
          <w:highlight w:val="none"/>
        </w:rPr>
        <w:fldChar w:fldCharType="end"/>
      </w:r>
      <w:r>
        <w:rPr>
          <w:rStyle w:val="37"/>
          <w:rFonts w:hint="eastAsia"/>
          <w:highlight w:val="none"/>
        </w:rPr>
        <w:fldChar w:fldCharType="end"/>
      </w:r>
    </w:p>
    <w:p w14:paraId="0AFDDF35">
      <w:pPr>
        <w:pStyle w:val="21"/>
        <w:rPr>
          <w:rFonts w:hint="eastAsia" w:asciiTheme="minorHAnsi" w:hAnsiTheme="minorHAnsi" w:eastAsiaTheme="minorEastAsia" w:cstheme="minorBidi"/>
          <w:sz w:val="22"/>
          <w:highlight w:val="none"/>
          <w14:ligatures w14:val="standardContextual"/>
        </w:rPr>
      </w:pPr>
      <w:r>
        <w:rPr>
          <w:rStyle w:val="37"/>
          <w:rFonts w:hint="eastAsia"/>
          <w:highlight w:val="none"/>
        </w:rPr>
        <w:fldChar w:fldCharType="begin"/>
      </w:r>
      <w:r>
        <w:rPr>
          <w:rStyle w:val="37"/>
          <w:rFonts w:hint="eastAsia"/>
          <w:highlight w:val="none"/>
        </w:rPr>
        <w:instrText xml:space="preserve"> </w:instrText>
      </w:r>
      <w:r>
        <w:rPr>
          <w:rFonts w:hint="eastAsia"/>
          <w:highlight w:val="none"/>
        </w:rPr>
        <w:instrText xml:space="preserve">HYPERLINK \l "_Toc196489761"</w:instrText>
      </w:r>
      <w:r>
        <w:rPr>
          <w:rStyle w:val="37"/>
          <w:rFonts w:hint="eastAsia"/>
          <w:highlight w:val="none"/>
        </w:rPr>
        <w:instrText xml:space="preserve"> </w:instrText>
      </w:r>
      <w:r>
        <w:rPr>
          <w:rStyle w:val="37"/>
          <w:rFonts w:hint="eastAsia"/>
          <w:highlight w:val="none"/>
        </w:rPr>
        <w:fldChar w:fldCharType="separate"/>
      </w:r>
      <w:r>
        <w:rPr>
          <w:rStyle w:val="37"/>
          <w:rFonts w:hint="eastAsia"/>
          <w:highlight w:val="none"/>
        </w:rPr>
        <w:t>1 范围</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_Toc196489761 \h</w:instrText>
      </w:r>
      <w:r>
        <w:rPr>
          <w:rFonts w:hint="eastAsia"/>
          <w:highlight w:val="none"/>
        </w:rPr>
        <w:instrText xml:space="preserve"> </w:instrText>
      </w:r>
      <w:r>
        <w:rPr>
          <w:rFonts w:hint="eastAsia"/>
          <w:highlight w:val="none"/>
        </w:rPr>
        <w:fldChar w:fldCharType="separate"/>
      </w:r>
      <w:r>
        <w:rPr>
          <w:highlight w:val="none"/>
        </w:rPr>
        <w:t>1</w:t>
      </w:r>
      <w:r>
        <w:rPr>
          <w:rFonts w:hint="eastAsia"/>
          <w:highlight w:val="none"/>
        </w:rPr>
        <w:fldChar w:fldCharType="end"/>
      </w:r>
      <w:r>
        <w:rPr>
          <w:rStyle w:val="37"/>
          <w:rFonts w:hint="eastAsia"/>
          <w:highlight w:val="none"/>
        </w:rPr>
        <w:fldChar w:fldCharType="end"/>
      </w:r>
    </w:p>
    <w:p w14:paraId="4868B7EA">
      <w:pPr>
        <w:pStyle w:val="21"/>
        <w:rPr>
          <w:rFonts w:hint="eastAsia" w:asciiTheme="minorHAnsi" w:hAnsiTheme="minorHAnsi" w:eastAsiaTheme="minorEastAsia" w:cstheme="minorBidi"/>
          <w:sz w:val="22"/>
          <w:highlight w:val="none"/>
          <w14:ligatures w14:val="standardContextual"/>
        </w:rPr>
      </w:pPr>
      <w:r>
        <w:rPr>
          <w:rStyle w:val="37"/>
          <w:rFonts w:hint="eastAsia"/>
          <w:highlight w:val="none"/>
        </w:rPr>
        <w:fldChar w:fldCharType="begin"/>
      </w:r>
      <w:r>
        <w:rPr>
          <w:rStyle w:val="37"/>
          <w:rFonts w:hint="eastAsia"/>
          <w:highlight w:val="none"/>
        </w:rPr>
        <w:instrText xml:space="preserve"> </w:instrText>
      </w:r>
      <w:r>
        <w:rPr>
          <w:rFonts w:hint="eastAsia"/>
          <w:highlight w:val="none"/>
        </w:rPr>
        <w:instrText xml:space="preserve">HYPERLINK \l "_Toc196489762"</w:instrText>
      </w:r>
      <w:r>
        <w:rPr>
          <w:rStyle w:val="37"/>
          <w:rFonts w:hint="eastAsia"/>
          <w:highlight w:val="none"/>
        </w:rPr>
        <w:instrText xml:space="preserve"> </w:instrText>
      </w:r>
      <w:r>
        <w:rPr>
          <w:rStyle w:val="37"/>
          <w:rFonts w:hint="eastAsia"/>
          <w:highlight w:val="none"/>
        </w:rPr>
        <w:fldChar w:fldCharType="separate"/>
      </w:r>
      <w:r>
        <w:rPr>
          <w:rStyle w:val="37"/>
          <w:rFonts w:hint="eastAsia"/>
          <w:highlight w:val="none"/>
        </w:rPr>
        <w:t>2 规范性引用文件</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_Toc196489762 \h</w:instrText>
      </w:r>
      <w:r>
        <w:rPr>
          <w:rFonts w:hint="eastAsia"/>
          <w:highlight w:val="none"/>
        </w:rPr>
        <w:instrText xml:space="preserve"> </w:instrText>
      </w:r>
      <w:r>
        <w:rPr>
          <w:rFonts w:hint="eastAsia"/>
          <w:highlight w:val="none"/>
        </w:rPr>
        <w:fldChar w:fldCharType="separate"/>
      </w:r>
      <w:r>
        <w:rPr>
          <w:highlight w:val="none"/>
        </w:rPr>
        <w:t>1</w:t>
      </w:r>
      <w:r>
        <w:rPr>
          <w:rFonts w:hint="eastAsia"/>
          <w:highlight w:val="none"/>
        </w:rPr>
        <w:fldChar w:fldCharType="end"/>
      </w:r>
      <w:r>
        <w:rPr>
          <w:rStyle w:val="37"/>
          <w:rFonts w:hint="eastAsia"/>
          <w:highlight w:val="none"/>
        </w:rPr>
        <w:fldChar w:fldCharType="end"/>
      </w:r>
    </w:p>
    <w:p w14:paraId="746466AB">
      <w:pPr>
        <w:pStyle w:val="21"/>
        <w:rPr>
          <w:rFonts w:hint="eastAsia" w:asciiTheme="minorHAnsi" w:hAnsiTheme="minorHAnsi" w:eastAsiaTheme="minorEastAsia" w:cstheme="minorBidi"/>
          <w:sz w:val="22"/>
          <w:highlight w:val="none"/>
          <w14:ligatures w14:val="standardContextual"/>
        </w:rPr>
      </w:pPr>
      <w:r>
        <w:rPr>
          <w:rStyle w:val="37"/>
          <w:rFonts w:hint="eastAsia"/>
          <w:highlight w:val="none"/>
        </w:rPr>
        <w:fldChar w:fldCharType="begin"/>
      </w:r>
      <w:r>
        <w:rPr>
          <w:rStyle w:val="37"/>
          <w:rFonts w:hint="eastAsia"/>
          <w:highlight w:val="none"/>
        </w:rPr>
        <w:instrText xml:space="preserve"> </w:instrText>
      </w:r>
      <w:r>
        <w:rPr>
          <w:rFonts w:hint="eastAsia"/>
          <w:highlight w:val="none"/>
        </w:rPr>
        <w:instrText xml:space="preserve">HYPERLINK \l "_Toc196489763"</w:instrText>
      </w:r>
      <w:r>
        <w:rPr>
          <w:rStyle w:val="37"/>
          <w:rFonts w:hint="eastAsia"/>
          <w:highlight w:val="none"/>
        </w:rPr>
        <w:instrText xml:space="preserve"> </w:instrText>
      </w:r>
      <w:r>
        <w:rPr>
          <w:rStyle w:val="37"/>
          <w:rFonts w:hint="eastAsia"/>
          <w:highlight w:val="none"/>
        </w:rPr>
        <w:fldChar w:fldCharType="separate"/>
      </w:r>
      <w:r>
        <w:rPr>
          <w:rStyle w:val="37"/>
          <w:rFonts w:hint="eastAsia"/>
          <w:highlight w:val="none"/>
        </w:rPr>
        <w:t>3 术语和定义</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_Toc196489763 \h</w:instrText>
      </w:r>
      <w:r>
        <w:rPr>
          <w:rFonts w:hint="eastAsia"/>
          <w:highlight w:val="none"/>
        </w:rPr>
        <w:instrText xml:space="preserve"> </w:instrText>
      </w:r>
      <w:r>
        <w:rPr>
          <w:rFonts w:hint="eastAsia"/>
          <w:highlight w:val="none"/>
        </w:rPr>
        <w:fldChar w:fldCharType="separate"/>
      </w:r>
      <w:r>
        <w:rPr>
          <w:highlight w:val="none"/>
        </w:rPr>
        <w:t>1</w:t>
      </w:r>
      <w:r>
        <w:rPr>
          <w:rFonts w:hint="eastAsia"/>
          <w:highlight w:val="none"/>
        </w:rPr>
        <w:fldChar w:fldCharType="end"/>
      </w:r>
      <w:r>
        <w:rPr>
          <w:rStyle w:val="37"/>
          <w:rFonts w:hint="eastAsia"/>
          <w:highlight w:val="none"/>
        </w:rPr>
        <w:fldChar w:fldCharType="end"/>
      </w:r>
    </w:p>
    <w:p w14:paraId="4AC3A615">
      <w:pPr>
        <w:pStyle w:val="21"/>
        <w:rPr>
          <w:rFonts w:hint="eastAsia" w:asciiTheme="minorHAnsi" w:hAnsiTheme="minorHAnsi" w:eastAsiaTheme="minorEastAsia" w:cstheme="minorBidi"/>
          <w:sz w:val="22"/>
          <w:highlight w:val="none"/>
          <w14:ligatures w14:val="standardContextual"/>
        </w:rPr>
      </w:pPr>
      <w:r>
        <w:rPr>
          <w:rStyle w:val="37"/>
          <w:rFonts w:hint="eastAsia"/>
          <w:highlight w:val="none"/>
        </w:rPr>
        <w:fldChar w:fldCharType="begin"/>
      </w:r>
      <w:r>
        <w:rPr>
          <w:rStyle w:val="37"/>
          <w:rFonts w:hint="eastAsia"/>
          <w:highlight w:val="none"/>
        </w:rPr>
        <w:instrText xml:space="preserve"> </w:instrText>
      </w:r>
      <w:r>
        <w:rPr>
          <w:rFonts w:hint="eastAsia"/>
          <w:highlight w:val="none"/>
        </w:rPr>
        <w:instrText xml:space="preserve">HYPERLINK \l "_Toc196489764"</w:instrText>
      </w:r>
      <w:r>
        <w:rPr>
          <w:rStyle w:val="37"/>
          <w:rFonts w:hint="eastAsia"/>
          <w:highlight w:val="none"/>
        </w:rPr>
        <w:instrText xml:space="preserve"> </w:instrText>
      </w:r>
      <w:r>
        <w:rPr>
          <w:rStyle w:val="37"/>
          <w:rFonts w:hint="eastAsia"/>
          <w:highlight w:val="none"/>
        </w:rPr>
        <w:fldChar w:fldCharType="separate"/>
      </w:r>
      <w:r>
        <w:rPr>
          <w:rStyle w:val="37"/>
          <w:rFonts w:hint="eastAsia"/>
          <w:highlight w:val="none"/>
        </w:rPr>
        <w:t>5试验方法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_Toc196489764 \h</w:instrText>
      </w:r>
      <w:r>
        <w:rPr>
          <w:rFonts w:hint="eastAsia"/>
          <w:highlight w:val="none"/>
        </w:rPr>
        <w:instrText xml:space="preserve"> </w:instrText>
      </w:r>
      <w:r>
        <w:rPr>
          <w:rFonts w:hint="eastAsia"/>
          <w:highlight w:val="none"/>
        </w:rPr>
        <w:fldChar w:fldCharType="separate"/>
      </w:r>
      <w:r>
        <w:rPr>
          <w:highlight w:val="none"/>
        </w:rPr>
        <w:t>4</w:t>
      </w:r>
      <w:r>
        <w:rPr>
          <w:rFonts w:hint="eastAsia"/>
          <w:highlight w:val="none"/>
        </w:rPr>
        <w:fldChar w:fldCharType="end"/>
      </w:r>
      <w:r>
        <w:rPr>
          <w:rStyle w:val="37"/>
          <w:rFonts w:hint="eastAsia"/>
          <w:highlight w:val="none"/>
        </w:rPr>
        <w:fldChar w:fldCharType="end"/>
      </w:r>
    </w:p>
    <w:p w14:paraId="4EC74620">
      <w:pPr>
        <w:pStyle w:val="21"/>
        <w:rPr>
          <w:rFonts w:hint="eastAsia" w:asciiTheme="minorHAnsi" w:hAnsiTheme="minorHAnsi" w:eastAsiaTheme="minorEastAsia" w:cstheme="minorBidi"/>
          <w:sz w:val="22"/>
          <w:highlight w:val="none"/>
          <w14:ligatures w14:val="standardContextual"/>
        </w:rPr>
      </w:pPr>
      <w:r>
        <w:rPr>
          <w:rStyle w:val="37"/>
          <w:rFonts w:hint="eastAsia"/>
          <w:highlight w:val="none"/>
        </w:rPr>
        <w:fldChar w:fldCharType="begin"/>
      </w:r>
      <w:r>
        <w:rPr>
          <w:rStyle w:val="37"/>
          <w:rFonts w:hint="eastAsia"/>
          <w:highlight w:val="none"/>
        </w:rPr>
        <w:instrText xml:space="preserve"> </w:instrText>
      </w:r>
      <w:r>
        <w:rPr>
          <w:rFonts w:hint="eastAsia"/>
          <w:highlight w:val="none"/>
        </w:rPr>
        <w:instrText xml:space="preserve">HYPERLINK \l "_Toc196489765"</w:instrText>
      </w:r>
      <w:r>
        <w:rPr>
          <w:rStyle w:val="37"/>
          <w:rFonts w:hint="eastAsia"/>
          <w:highlight w:val="none"/>
        </w:rPr>
        <w:instrText xml:space="preserve"> </w:instrText>
      </w:r>
      <w:r>
        <w:rPr>
          <w:rStyle w:val="37"/>
          <w:rFonts w:hint="eastAsia"/>
          <w:highlight w:val="none"/>
        </w:rPr>
        <w:fldChar w:fldCharType="separate"/>
      </w:r>
      <w:r>
        <w:rPr>
          <w:rStyle w:val="37"/>
          <w:rFonts w:hint="eastAsia"/>
          <w:highlight w:val="none"/>
        </w:rPr>
        <w:t>附录A（规范性）试验装置要求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_Toc196489765 \h</w:instrText>
      </w:r>
      <w:r>
        <w:rPr>
          <w:rFonts w:hint="eastAsia"/>
          <w:highlight w:val="none"/>
        </w:rPr>
        <w:instrText xml:space="preserve"> </w:instrText>
      </w:r>
      <w:r>
        <w:rPr>
          <w:rFonts w:hint="eastAsia"/>
          <w:highlight w:val="none"/>
        </w:rPr>
        <w:fldChar w:fldCharType="separate"/>
      </w:r>
      <w:r>
        <w:rPr>
          <w:highlight w:val="none"/>
        </w:rPr>
        <w:t>7</w:t>
      </w:r>
      <w:r>
        <w:rPr>
          <w:rFonts w:hint="eastAsia"/>
          <w:highlight w:val="none"/>
        </w:rPr>
        <w:fldChar w:fldCharType="end"/>
      </w:r>
      <w:r>
        <w:rPr>
          <w:rStyle w:val="37"/>
          <w:rFonts w:hint="eastAsia"/>
          <w:highlight w:val="none"/>
        </w:rPr>
        <w:fldChar w:fldCharType="end"/>
      </w:r>
    </w:p>
    <w:p w14:paraId="365AF320">
      <w:pPr>
        <w:spacing w:line="276" w:lineRule="auto"/>
        <w:jc w:val="right"/>
        <w:rPr>
          <w:b/>
          <w:highlight w:val="none"/>
        </w:rPr>
      </w:pPr>
      <w:r>
        <w:rPr>
          <w:highlight w:val="none"/>
        </w:rPr>
        <w:fldChar w:fldCharType="end"/>
      </w:r>
    </w:p>
    <w:p w14:paraId="0E77BEBA">
      <w:pPr>
        <w:rPr>
          <w:b/>
          <w:highlight w:val="none"/>
        </w:rPr>
        <w:sectPr>
          <w:footerReference r:id="rId7" w:type="default"/>
          <w:pgSz w:w="11906" w:h="16838"/>
          <w:pgMar w:top="1247" w:right="1219" w:bottom="1089" w:left="1219" w:header="1418" w:footer="851" w:gutter="0"/>
          <w:pgNumType w:fmt="upperRoman" w:start="1"/>
          <w:cols w:space="720" w:num="1"/>
          <w:docGrid w:type="lines" w:linePitch="312" w:charSpace="0"/>
        </w:sectPr>
      </w:pPr>
    </w:p>
    <w:p w14:paraId="22DCA556">
      <w:pPr>
        <w:pStyle w:val="2"/>
        <w:spacing w:before="156" w:after="156"/>
        <w:jc w:val="center"/>
        <w:rPr>
          <w:rFonts w:ascii="Times New Roman"/>
          <w:b w:val="0"/>
          <w:sz w:val="32"/>
          <w:szCs w:val="32"/>
          <w:highlight w:val="none"/>
        </w:rPr>
      </w:pPr>
      <w:bookmarkStart w:id="5" w:name="_Toc196489760"/>
      <w:r>
        <w:rPr>
          <w:rFonts w:hint="eastAsia" w:ascii="Times New Roman"/>
          <w:b w:val="0"/>
          <w:sz w:val="32"/>
          <w:szCs w:val="32"/>
          <w:highlight w:val="none"/>
        </w:rPr>
        <w:t>前</w:t>
      </w:r>
      <w:r>
        <w:rPr>
          <w:rFonts w:ascii="Times New Roman"/>
          <w:b w:val="0"/>
          <w:sz w:val="32"/>
          <w:szCs w:val="32"/>
          <w:highlight w:val="none"/>
        </w:rPr>
        <w:t xml:space="preserve">  </w:t>
      </w:r>
      <w:r>
        <w:rPr>
          <w:rFonts w:hint="eastAsia" w:ascii="Times New Roman"/>
          <w:b w:val="0"/>
          <w:sz w:val="32"/>
          <w:szCs w:val="32"/>
          <w:highlight w:val="none"/>
        </w:rPr>
        <w:t>言</w:t>
      </w:r>
      <w:bookmarkEnd w:id="3"/>
      <w:bookmarkEnd w:id="4"/>
      <w:bookmarkEnd w:id="5"/>
    </w:p>
    <w:p w14:paraId="05BF9DD3">
      <w:pPr>
        <w:pStyle w:val="20"/>
        <w:ind w:firstLine="357" w:firstLineChars="170"/>
        <w:jc w:val="both"/>
        <w:rPr>
          <w:sz w:val="21"/>
          <w:szCs w:val="21"/>
          <w:highlight w:val="none"/>
        </w:rPr>
      </w:pPr>
      <w:r>
        <w:rPr>
          <w:sz w:val="21"/>
          <w:szCs w:val="21"/>
          <w:highlight w:val="none"/>
        </w:rPr>
        <w:t>本文件按照GB/T</w:t>
      </w:r>
      <w:r>
        <w:rPr>
          <w:rFonts w:hint="eastAsia"/>
          <w:sz w:val="21"/>
          <w:szCs w:val="21"/>
          <w:highlight w:val="none"/>
        </w:rPr>
        <w:t xml:space="preserve"> </w:t>
      </w:r>
      <w:r>
        <w:rPr>
          <w:sz w:val="21"/>
          <w:szCs w:val="21"/>
          <w:highlight w:val="none"/>
        </w:rPr>
        <w:t xml:space="preserve">1.1-2020《标准化工作导则 </w:t>
      </w:r>
      <w:r>
        <w:rPr>
          <w:rFonts w:hint="eastAsia"/>
          <w:sz w:val="21"/>
          <w:szCs w:val="21"/>
          <w:highlight w:val="none"/>
        </w:rPr>
        <w:t xml:space="preserve"> </w:t>
      </w:r>
      <w:r>
        <w:rPr>
          <w:sz w:val="21"/>
          <w:szCs w:val="21"/>
          <w:highlight w:val="none"/>
        </w:rPr>
        <w:t>第1部分：标准化文件的结构和起草规则》的规定起草。</w:t>
      </w:r>
    </w:p>
    <w:p w14:paraId="2316695E">
      <w:pPr>
        <w:pStyle w:val="20"/>
        <w:ind w:firstLine="357" w:firstLineChars="170"/>
        <w:jc w:val="both"/>
        <w:rPr>
          <w:sz w:val="21"/>
          <w:szCs w:val="21"/>
          <w:highlight w:val="none"/>
        </w:rPr>
      </w:pPr>
      <w:r>
        <w:rPr>
          <w:sz w:val="21"/>
          <w:szCs w:val="21"/>
          <w:highlight w:val="none"/>
        </w:rPr>
        <w:t>请注意本文件的某些内容可能涉及专利。本文件的发布机构不承担识别专利的责任。</w:t>
      </w:r>
    </w:p>
    <w:p w14:paraId="2DD4FA17">
      <w:pPr>
        <w:pStyle w:val="20"/>
        <w:ind w:firstLine="357" w:firstLineChars="170"/>
        <w:jc w:val="both"/>
        <w:rPr>
          <w:sz w:val="21"/>
          <w:szCs w:val="21"/>
          <w:highlight w:val="none"/>
        </w:rPr>
      </w:pPr>
      <w:r>
        <w:rPr>
          <w:sz w:val="21"/>
          <w:szCs w:val="21"/>
          <w:highlight w:val="none"/>
        </w:rPr>
        <w:t>本文件由国家药品监督管理局提出。</w:t>
      </w:r>
    </w:p>
    <w:p w14:paraId="5E8B0E02">
      <w:pPr>
        <w:pStyle w:val="20"/>
        <w:ind w:firstLine="357" w:firstLineChars="170"/>
        <w:jc w:val="both"/>
        <w:rPr>
          <w:sz w:val="21"/>
          <w:szCs w:val="21"/>
          <w:highlight w:val="none"/>
        </w:rPr>
      </w:pPr>
      <w:r>
        <w:rPr>
          <w:sz w:val="21"/>
          <w:szCs w:val="21"/>
          <w:highlight w:val="none"/>
        </w:rPr>
        <w:t>本文件由全国医用电器标准化技术委员会医用电子仪器分技术委员会(SAC/TC10/SC5)归口。</w:t>
      </w:r>
    </w:p>
    <w:p w14:paraId="17A551C6">
      <w:pPr>
        <w:pStyle w:val="20"/>
        <w:ind w:firstLine="357" w:firstLineChars="170"/>
        <w:jc w:val="both"/>
        <w:rPr>
          <w:sz w:val="21"/>
          <w:szCs w:val="21"/>
          <w:highlight w:val="none"/>
        </w:rPr>
      </w:pPr>
      <w:r>
        <w:rPr>
          <w:sz w:val="21"/>
          <w:szCs w:val="21"/>
          <w:highlight w:val="none"/>
        </w:rPr>
        <w:t>本文件起草单位：。</w:t>
      </w:r>
    </w:p>
    <w:p w14:paraId="3C3ED3C0">
      <w:pPr>
        <w:pStyle w:val="20"/>
        <w:ind w:firstLine="357" w:firstLineChars="170"/>
        <w:jc w:val="both"/>
        <w:rPr>
          <w:sz w:val="24"/>
          <w:szCs w:val="24"/>
          <w:highlight w:val="none"/>
        </w:rPr>
      </w:pPr>
      <w:r>
        <w:rPr>
          <w:sz w:val="21"/>
          <w:szCs w:val="21"/>
          <w:highlight w:val="none"/>
        </w:rPr>
        <w:t>本文件主要起草人：。</w:t>
      </w:r>
    </w:p>
    <w:p w14:paraId="514E36C7">
      <w:pPr>
        <w:rPr>
          <w:highlight w:val="none"/>
        </w:rPr>
      </w:pPr>
    </w:p>
    <w:p w14:paraId="1E6979C5">
      <w:pPr>
        <w:rPr>
          <w:highlight w:val="none"/>
        </w:rPr>
        <w:sectPr>
          <w:headerReference r:id="rId8" w:type="default"/>
          <w:pgSz w:w="11906" w:h="16838"/>
          <w:pgMar w:top="1247" w:right="1219" w:bottom="1089" w:left="1219" w:header="1418" w:footer="851" w:gutter="0"/>
          <w:pgNumType w:fmt="upperRoman"/>
          <w:cols w:space="720" w:num="1"/>
          <w:docGrid w:type="lines" w:linePitch="312" w:charSpace="0"/>
        </w:sectPr>
      </w:pPr>
    </w:p>
    <w:p w14:paraId="4F712E1E">
      <w:pPr>
        <w:pStyle w:val="20"/>
        <w:rPr>
          <w:rFonts w:hint="eastAsia" w:ascii="黑体" w:hAnsi="黑体" w:eastAsia="黑体"/>
          <w:bCs/>
          <w:sz w:val="32"/>
          <w:szCs w:val="32"/>
          <w:highlight w:val="none"/>
        </w:rPr>
      </w:pPr>
      <w:r>
        <w:rPr>
          <w:rFonts w:hint="eastAsia" w:ascii="黑体" w:hAnsi="黑体" w:eastAsia="黑体"/>
          <w:bCs/>
          <w:sz w:val="32"/>
          <w:szCs w:val="32"/>
          <w:highlight w:val="none"/>
        </w:rPr>
        <w:t>血管内冲击波治疗设备</w:t>
      </w:r>
    </w:p>
    <w:p w14:paraId="44030D8A">
      <w:pPr>
        <w:pStyle w:val="2"/>
        <w:spacing w:before="312" w:beforeLines="100" w:after="312" w:afterLines="100"/>
        <w:rPr>
          <w:b w:val="0"/>
          <w:highlight w:val="none"/>
        </w:rPr>
      </w:pPr>
      <w:bookmarkStart w:id="6" w:name="_Toc141065216"/>
      <w:bookmarkStart w:id="7" w:name="范围"/>
      <w:bookmarkStart w:id="8" w:name="_Toc196489761"/>
      <w:r>
        <w:rPr>
          <w:b w:val="0"/>
          <w:highlight w:val="none"/>
        </w:rPr>
        <w:t xml:space="preserve">1 </w:t>
      </w:r>
      <w:r>
        <w:rPr>
          <w:rFonts w:hint="eastAsia"/>
          <w:b w:val="0"/>
          <w:highlight w:val="none"/>
        </w:rPr>
        <w:t>范围</w:t>
      </w:r>
      <w:bookmarkEnd w:id="6"/>
      <w:bookmarkEnd w:id="7"/>
      <w:bookmarkEnd w:id="8"/>
    </w:p>
    <w:p w14:paraId="49B90A04">
      <w:pPr>
        <w:pStyle w:val="20"/>
        <w:spacing w:line="276" w:lineRule="auto"/>
        <w:ind w:firstLine="357" w:firstLineChars="170"/>
        <w:jc w:val="both"/>
        <w:rPr>
          <w:rFonts w:hint="eastAsia" w:ascii="宋体" w:hAnsi="宋体"/>
          <w:sz w:val="21"/>
          <w:szCs w:val="21"/>
          <w:highlight w:val="none"/>
        </w:rPr>
      </w:pPr>
      <w:r>
        <w:rPr>
          <w:rFonts w:hint="eastAsia" w:ascii="宋体" w:hAnsi="宋体"/>
          <w:sz w:val="21"/>
          <w:szCs w:val="21"/>
          <w:highlight w:val="none"/>
        </w:rPr>
        <w:t>本文件规定了血管内冲击波治疗设备（以下简称“设备”）及其配用附件的要求、试验方法。</w:t>
      </w:r>
    </w:p>
    <w:p w14:paraId="5B62F81F">
      <w:pPr>
        <w:pStyle w:val="20"/>
        <w:spacing w:line="276" w:lineRule="auto"/>
        <w:ind w:firstLine="357" w:firstLineChars="170"/>
        <w:jc w:val="both"/>
        <w:rPr>
          <w:highlight w:val="none"/>
        </w:rPr>
      </w:pPr>
      <w:r>
        <w:rPr>
          <w:rFonts w:hint="eastAsia" w:ascii="宋体" w:hAnsi="宋体"/>
          <w:sz w:val="21"/>
          <w:szCs w:val="21"/>
          <w:highlight w:val="none"/>
        </w:rPr>
        <w:t>本文件适用于在血管内使用的通过高电压放电产生冲击波脉冲的设备及其配用附件，预期用于带有钙化病变的血管系统的预处理。</w:t>
      </w:r>
    </w:p>
    <w:p w14:paraId="5AC22A0C">
      <w:pPr>
        <w:pStyle w:val="20"/>
        <w:spacing w:line="276" w:lineRule="auto"/>
        <w:ind w:firstLine="357" w:firstLineChars="170"/>
        <w:jc w:val="both"/>
        <w:rPr>
          <w:rFonts w:hint="eastAsia" w:ascii="宋体" w:hAnsi="宋体"/>
          <w:sz w:val="21"/>
          <w:szCs w:val="21"/>
          <w:highlight w:val="none"/>
        </w:rPr>
      </w:pPr>
      <w:r>
        <w:rPr>
          <w:rFonts w:hint="eastAsia" w:ascii="宋体" w:hAnsi="宋体"/>
          <w:sz w:val="21"/>
          <w:szCs w:val="21"/>
          <w:highlight w:val="none"/>
        </w:rPr>
        <w:t>不适用于体外引入压力波的医用碎石设备和激光式冲击波设备。</w:t>
      </w:r>
    </w:p>
    <w:p w14:paraId="0E15377A">
      <w:pPr>
        <w:pStyle w:val="2"/>
        <w:spacing w:before="312" w:beforeLines="100" w:after="312" w:afterLines="100"/>
        <w:rPr>
          <w:b w:val="0"/>
          <w:highlight w:val="none"/>
        </w:rPr>
      </w:pPr>
      <w:bookmarkStart w:id="9" w:name="_Toc141065217"/>
      <w:bookmarkStart w:id="10" w:name="规范性引用文件"/>
      <w:bookmarkStart w:id="11" w:name="_Toc196489762"/>
      <w:r>
        <w:rPr>
          <w:b w:val="0"/>
          <w:highlight w:val="none"/>
        </w:rPr>
        <w:t xml:space="preserve">2 </w:t>
      </w:r>
      <w:r>
        <w:rPr>
          <w:rFonts w:hint="eastAsia"/>
          <w:b w:val="0"/>
          <w:highlight w:val="none"/>
        </w:rPr>
        <w:t>规范性引用文件</w:t>
      </w:r>
      <w:bookmarkEnd w:id="9"/>
      <w:bookmarkEnd w:id="10"/>
      <w:bookmarkEnd w:id="11"/>
    </w:p>
    <w:p w14:paraId="5EFE063B">
      <w:pPr>
        <w:pStyle w:val="20"/>
        <w:spacing w:before="156" w:beforeLines="50" w:after="156" w:afterLines="50" w:line="276" w:lineRule="auto"/>
        <w:ind w:firstLine="420" w:firstLineChars="200"/>
        <w:jc w:val="both"/>
        <w:rPr>
          <w:sz w:val="21"/>
          <w:szCs w:val="21"/>
          <w:highlight w:val="none"/>
        </w:rPr>
      </w:pPr>
      <w:r>
        <w:rPr>
          <w:rFonts w:hint="eastAsia"/>
          <w:sz w:val="21"/>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241E724">
      <w:pPr>
        <w:pStyle w:val="20"/>
        <w:ind w:firstLine="420" w:firstLineChars="200"/>
        <w:jc w:val="both"/>
        <w:rPr>
          <w:sz w:val="21"/>
          <w:szCs w:val="21"/>
          <w:highlight w:val="none"/>
        </w:rPr>
      </w:pPr>
      <w:r>
        <w:rPr>
          <w:rFonts w:hint="eastAsia"/>
          <w:sz w:val="21"/>
          <w:szCs w:val="21"/>
          <w:highlight w:val="none"/>
        </w:rPr>
        <w:t>GB 9706.1-2020 医用电气设备 第1部分：基本安全和基本性能的通用要求</w:t>
      </w:r>
    </w:p>
    <w:p w14:paraId="454D2486">
      <w:pPr>
        <w:pStyle w:val="20"/>
        <w:ind w:firstLine="420" w:firstLineChars="200"/>
        <w:jc w:val="both"/>
        <w:rPr>
          <w:sz w:val="21"/>
          <w:szCs w:val="21"/>
          <w:highlight w:val="none"/>
        </w:rPr>
      </w:pPr>
      <w:r>
        <w:rPr>
          <w:rFonts w:hint="eastAsia"/>
          <w:sz w:val="21"/>
          <w:szCs w:val="21"/>
          <w:highlight w:val="none"/>
        </w:rPr>
        <w:t>YY</w:t>
      </w:r>
      <w:r>
        <w:rPr>
          <w:sz w:val="21"/>
          <w:szCs w:val="21"/>
          <w:highlight w:val="none"/>
        </w:rPr>
        <w:t xml:space="preserve"> </w:t>
      </w:r>
      <w:r>
        <w:rPr>
          <w:rFonts w:hint="eastAsia"/>
          <w:sz w:val="21"/>
          <w:szCs w:val="21"/>
          <w:highlight w:val="none"/>
        </w:rPr>
        <w:t>9706.102-2021 医用电气设备 第1-2部分：基本安全和基本性能的通用要求 并列标准：电磁兼容 要求和试验</w:t>
      </w:r>
    </w:p>
    <w:p w14:paraId="1CA91698">
      <w:pPr>
        <w:pStyle w:val="20"/>
        <w:ind w:firstLine="420" w:firstLineChars="200"/>
        <w:jc w:val="both"/>
        <w:rPr>
          <w:sz w:val="21"/>
          <w:szCs w:val="21"/>
          <w:highlight w:val="none"/>
        </w:rPr>
      </w:pPr>
      <w:r>
        <w:rPr>
          <w:sz w:val="21"/>
          <w:szCs w:val="21"/>
          <w:highlight w:val="none"/>
        </w:rPr>
        <w:t>YY/T0865.1-2011</w:t>
      </w:r>
      <w:r>
        <w:rPr>
          <w:rFonts w:hint="eastAsia"/>
          <w:sz w:val="21"/>
          <w:szCs w:val="21"/>
          <w:highlight w:val="none"/>
        </w:rPr>
        <w:t>超声 水听器 第1 部分:40 MHz 以下医用超声场的测量和特征描绘</w:t>
      </w:r>
    </w:p>
    <w:p w14:paraId="68CC1F16">
      <w:pPr>
        <w:pStyle w:val="20"/>
        <w:ind w:firstLine="420" w:firstLineChars="200"/>
        <w:jc w:val="both"/>
        <w:rPr>
          <w:sz w:val="21"/>
          <w:szCs w:val="21"/>
          <w:highlight w:val="none"/>
        </w:rPr>
      </w:pPr>
      <w:r>
        <w:rPr>
          <w:sz w:val="21"/>
          <w:szCs w:val="21"/>
          <w:highlight w:val="none"/>
        </w:rPr>
        <w:t xml:space="preserve">YY 0285.1-2017 </w:t>
      </w:r>
      <w:r>
        <w:rPr>
          <w:rFonts w:hint="eastAsia"/>
          <w:sz w:val="21"/>
          <w:szCs w:val="21"/>
          <w:highlight w:val="none"/>
        </w:rPr>
        <w:t>血管内导管 一次性使用无菌血管内导管</w:t>
      </w:r>
      <w:r>
        <w:rPr>
          <w:sz w:val="21"/>
          <w:szCs w:val="21"/>
          <w:highlight w:val="none"/>
        </w:rPr>
        <w:t xml:space="preserve"> </w:t>
      </w:r>
      <w:r>
        <w:rPr>
          <w:rFonts w:hint="eastAsia"/>
          <w:sz w:val="21"/>
          <w:szCs w:val="21"/>
          <w:highlight w:val="none"/>
        </w:rPr>
        <w:t>第1部分：通用要求</w:t>
      </w:r>
    </w:p>
    <w:p w14:paraId="79D17D35">
      <w:pPr>
        <w:pStyle w:val="20"/>
        <w:ind w:firstLine="420" w:firstLineChars="200"/>
        <w:jc w:val="both"/>
        <w:rPr>
          <w:sz w:val="21"/>
          <w:szCs w:val="21"/>
          <w:highlight w:val="none"/>
        </w:rPr>
      </w:pPr>
      <w:r>
        <w:rPr>
          <w:sz w:val="21"/>
          <w:szCs w:val="21"/>
          <w:highlight w:val="none"/>
        </w:rPr>
        <w:t xml:space="preserve">YY 0285.4-2017 </w:t>
      </w:r>
      <w:r>
        <w:rPr>
          <w:rFonts w:hint="eastAsia"/>
          <w:sz w:val="21"/>
          <w:szCs w:val="21"/>
          <w:highlight w:val="none"/>
        </w:rPr>
        <w:t>血管内导管一次性使用无菌导管</w:t>
      </w:r>
      <w:r>
        <w:rPr>
          <w:sz w:val="21"/>
          <w:szCs w:val="21"/>
          <w:highlight w:val="none"/>
        </w:rPr>
        <w:t xml:space="preserve"> </w:t>
      </w:r>
      <w:r>
        <w:rPr>
          <w:rFonts w:hint="eastAsia"/>
          <w:sz w:val="21"/>
          <w:szCs w:val="21"/>
          <w:highlight w:val="none"/>
        </w:rPr>
        <w:t>第4部分：球囊扩张导管</w:t>
      </w:r>
    </w:p>
    <w:p w14:paraId="20609F86">
      <w:pPr>
        <w:pStyle w:val="20"/>
        <w:ind w:firstLine="420" w:firstLineChars="200"/>
        <w:jc w:val="left"/>
        <w:rPr>
          <w:szCs w:val="21"/>
          <w:highlight w:val="none"/>
        </w:rPr>
      </w:pPr>
      <w:r>
        <w:rPr>
          <w:sz w:val="21"/>
          <w:szCs w:val="21"/>
          <w:highlight w:val="none"/>
        </w:rPr>
        <w:t xml:space="preserve">GB/T 14233.1-2022 </w:t>
      </w:r>
      <w:r>
        <w:rPr>
          <w:rFonts w:hint="eastAsia"/>
          <w:sz w:val="21"/>
          <w:szCs w:val="21"/>
          <w:highlight w:val="none"/>
        </w:rPr>
        <w:t>医用输液、输血、注射器具检验方法</w:t>
      </w:r>
      <w:r>
        <w:rPr>
          <w:sz w:val="21"/>
          <w:szCs w:val="21"/>
          <w:highlight w:val="none"/>
        </w:rPr>
        <w:t xml:space="preserve"> </w:t>
      </w:r>
      <w:r>
        <w:rPr>
          <w:rFonts w:hint="eastAsia"/>
          <w:sz w:val="21"/>
          <w:szCs w:val="21"/>
          <w:highlight w:val="none"/>
        </w:rPr>
        <w:t>第1部分：化学分析方法</w:t>
      </w:r>
    </w:p>
    <w:p w14:paraId="35D4A6BB">
      <w:pPr>
        <w:pStyle w:val="20"/>
        <w:ind w:firstLine="420" w:firstLineChars="200"/>
        <w:jc w:val="left"/>
        <w:rPr>
          <w:szCs w:val="21"/>
          <w:highlight w:val="none"/>
        </w:rPr>
      </w:pPr>
      <w:r>
        <w:rPr>
          <w:sz w:val="21"/>
          <w:szCs w:val="21"/>
          <w:highlight w:val="none"/>
        </w:rPr>
        <w:t xml:space="preserve">GB/T 14233.2-2005 </w:t>
      </w:r>
      <w:r>
        <w:rPr>
          <w:rFonts w:hint="eastAsia"/>
          <w:sz w:val="21"/>
          <w:szCs w:val="21"/>
          <w:highlight w:val="none"/>
        </w:rPr>
        <w:t>医用输液、输血、注射器具检验方法</w:t>
      </w:r>
      <w:r>
        <w:rPr>
          <w:sz w:val="21"/>
          <w:szCs w:val="21"/>
          <w:highlight w:val="none"/>
        </w:rPr>
        <w:t xml:space="preserve"> </w:t>
      </w:r>
      <w:r>
        <w:rPr>
          <w:rFonts w:hint="eastAsia"/>
          <w:sz w:val="21"/>
          <w:szCs w:val="21"/>
          <w:highlight w:val="none"/>
        </w:rPr>
        <w:t>第2部分：生物学试验方法</w:t>
      </w:r>
    </w:p>
    <w:p w14:paraId="3A0D1F9D">
      <w:pPr>
        <w:pStyle w:val="20"/>
        <w:ind w:firstLine="420" w:firstLineChars="200"/>
        <w:jc w:val="left"/>
        <w:rPr>
          <w:sz w:val="21"/>
          <w:szCs w:val="21"/>
          <w:highlight w:val="none"/>
        </w:rPr>
      </w:pPr>
      <w:bookmarkStart w:id="12" w:name="OLE_LINK4"/>
      <w:r>
        <w:rPr>
          <w:sz w:val="21"/>
          <w:szCs w:val="21"/>
          <w:highlight w:val="none"/>
        </w:rPr>
        <w:t xml:space="preserve">GB/T 19633.1-2015 </w:t>
      </w:r>
      <w:bookmarkEnd w:id="12"/>
      <w:r>
        <w:rPr>
          <w:rFonts w:hint="eastAsia"/>
          <w:sz w:val="21"/>
          <w:szCs w:val="21"/>
          <w:highlight w:val="none"/>
        </w:rPr>
        <w:t>最终灭菌医疗器械包装</w:t>
      </w:r>
      <w:r>
        <w:rPr>
          <w:sz w:val="21"/>
          <w:szCs w:val="21"/>
          <w:highlight w:val="none"/>
        </w:rPr>
        <w:t xml:space="preserve"> </w:t>
      </w:r>
      <w:r>
        <w:rPr>
          <w:rFonts w:hint="eastAsia"/>
          <w:sz w:val="21"/>
          <w:szCs w:val="21"/>
          <w:highlight w:val="none"/>
        </w:rPr>
        <w:t>第1部分：材料、无菌屏障系统和包装系统的要求</w:t>
      </w:r>
    </w:p>
    <w:p w14:paraId="73A581AB">
      <w:pPr>
        <w:pStyle w:val="20"/>
        <w:ind w:firstLine="420" w:firstLineChars="200"/>
        <w:jc w:val="both"/>
        <w:rPr>
          <w:sz w:val="21"/>
          <w:szCs w:val="21"/>
          <w:highlight w:val="none"/>
        </w:rPr>
      </w:pPr>
    </w:p>
    <w:p w14:paraId="0FAC0514">
      <w:pPr>
        <w:pStyle w:val="2"/>
        <w:spacing w:before="312" w:beforeLines="100" w:after="312" w:afterLines="100"/>
        <w:rPr>
          <w:b w:val="0"/>
          <w:highlight w:val="none"/>
        </w:rPr>
      </w:pPr>
      <w:bookmarkStart w:id="13" w:name="_Toc196489763"/>
      <w:bookmarkStart w:id="14" w:name="_Toc141065218"/>
      <w:bookmarkStart w:id="15" w:name="分类和标记"/>
      <w:bookmarkStart w:id="16" w:name="_Hlk196741857"/>
      <w:r>
        <w:rPr>
          <w:b w:val="0"/>
          <w:highlight w:val="none"/>
        </w:rPr>
        <w:t xml:space="preserve">3 </w:t>
      </w:r>
      <w:r>
        <w:rPr>
          <w:rFonts w:hint="eastAsia"/>
          <w:b w:val="0"/>
          <w:highlight w:val="none"/>
        </w:rPr>
        <w:t>术语和定义</w:t>
      </w:r>
      <w:bookmarkEnd w:id="13"/>
      <w:bookmarkEnd w:id="14"/>
      <w:bookmarkEnd w:id="15"/>
    </w:p>
    <w:bookmarkEnd w:id="16"/>
    <w:p w14:paraId="1D13C687">
      <w:pPr>
        <w:pStyle w:val="20"/>
        <w:spacing w:before="0" w:beforeLines="-2147483648" w:after="0" w:afterLines="-2147483648" w:line="240" w:lineRule="auto"/>
        <w:ind w:firstLine="420" w:firstLineChars="200"/>
        <w:jc w:val="both"/>
        <w:rPr>
          <w:sz w:val="21"/>
          <w:szCs w:val="21"/>
          <w:highlight w:val="none"/>
        </w:rPr>
      </w:pPr>
      <w:r>
        <w:rPr>
          <w:rFonts w:hint="eastAsia"/>
          <w:sz w:val="21"/>
          <w:szCs w:val="21"/>
          <w:highlight w:val="none"/>
        </w:rPr>
        <w:t>下列术语和定义适用于本文件。</w:t>
      </w:r>
    </w:p>
    <w:p w14:paraId="554B804B">
      <w:pPr>
        <w:pStyle w:val="20"/>
        <w:spacing w:before="0" w:beforeLines="-2147483648" w:after="0" w:afterLines="-2147483648" w:line="240" w:lineRule="auto"/>
        <w:ind w:firstLine="360" w:firstLineChars="200"/>
        <w:jc w:val="left"/>
        <w:rPr>
          <w:rFonts w:ascii="黑体" w:hAnsi="黑体" w:eastAsia="黑体"/>
          <w:bCs/>
          <w:sz w:val="18"/>
          <w:szCs w:val="18"/>
          <w:highlight w:val="none"/>
        </w:rPr>
      </w:pPr>
      <w:r>
        <w:rPr>
          <w:rFonts w:hint="eastAsia" w:ascii="黑体" w:hAnsi="黑体" w:eastAsia="黑体"/>
          <w:bCs/>
          <w:sz w:val="18"/>
          <w:szCs w:val="18"/>
          <w:highlight w:val="none"/>
        </w:rPr>
        <w:t>注：</w:t>
      </w:r>
      <w:r>
        <w:rPr>
          <w:rFonts w:ascii="黑体" w:hAnsi="黑体" w:eastAsia="黑体"/>
          <w:bCs/>
          <w:sz w:val="18"/>
          <w:szCs w:val="18"/>
          <w:highlight w:val="none"/>
        </w:rPr>
        <w:t>YY 0285.1-2017</w:t>
      </w:r>
      <w:r>
        <w:rPr>
          <w:rFonts w:hint="eastAsia" w:ascii="黑体" w:hAnsi="黑体" w:eastAsia="黑体"/>
          <w:bCs/>
          <w:sz w:val="18"/>
          <w:szCs w:val="18"/>
          <w:highlight w:val="none"/>
        </w:rPr>
        <w:t>和</w:t>
      </w:r>
      <w:r>
        <w:rPr>
          <w:rFonts w:ascii="黑体" w:hAnsi="黑体" w:eastAsia="黑体"/>
          <w:bCs/>
          <w:sz w:val="18"/>
          <w:szCs w:val="18"/>
          <w:highlight w:val="none"/>
        </w:rPr>
        <w:t>YY 0285.4-2017</w:t>
      </w:r>
      <w:r>
        <w:rPr>
          <w:rFonts w:hint="eastAsia" w:ascii="黑体" w:hAnsi="黑体" w:eastAsia="黑体"/>
          <w:bCs/>
          <w:sz w:val="18"/>
          <w:szCs w:val="18"/>
          <w:highlight w:val="none"/>
        </w:rPr>
        <w:t>界定的以及下列术语和定义适用于本文件。</w:t>
      </w:r>
    </w:p>
    <w:p w14:paraId="4C85A7A5">
      <w:pPr>
        <w:pStyle w:val="3"/>
        <w:spacing w:line="240" w:lineRule="auto"/>
        <w:rPr>
          <w:highlight w:val="none"/>
        </w:rPr>
      </w:pPr>
      <w:bookmarkStart w:id="17" w:name="_Toc130395568"/>
      <w:bookmarkStart w:id="18" w:name="_Toc22305100"/>
      <w:bookmarkStart w:id="19" w:name="_Toc53497788"/>
      <w:bookmarkStart w:id="20" w:name="_Toc131438324"/>
      <w:bookmarkStart w:id="21" w:name="_Toc131438515"/>
      <w:bookmarkStart w:id="22" w:name="_Toc130395883"/>
      <w:bookmarkStart w:id="23" w:name="_Toc7381225"/>
      <w:bookmarkStart w:id="24" w:name="_Toc130396189"/>
      <w:bookmarkStart w:id="25" w:name="_Toc129190703"/>
      <w:bookmarkStart w:id="26" w:name="_Toc132899276"/>
      <w:bookmarkStart w:id="27" w:name="_Toc131438416"/>
      <w:r>
        <w:rPr>
          <w:b w:val="0"/>
          <w:highlight w:val="none"/>
        </w:rPr>
        <w:t>3.1</w:t>
      </w:r>
      <w:bookmarkEnd w:id="17"/>
      <w:bookmarkEnd w:id="18"/>
      <w:bookmarkEnd w:id="19"/>
      <w:bookmarkEnd w:id="20"/>
      <w:bookmarkEnd w:id="21"/>
      <w:bookmarkEnd w:id="22"/>
      <w:bookmarkEnd w:id="23"/>
      <w:bookmarkEnd w:id="24"/>
      <w:bookmarkEnd w:id="25"/>
      <w:bookmarkEnd w:id="26"/>
      <w:bookmarkEnd w:id="27"/>
    </w:p>
    <w:p w14:paraId="3E7D3C15">
      <w:pPr>
        <w:pStyle w:val="20"/>
        <w:ind w:firstLine="420" w:firstLineChars="200"/>
        <w:jc w:val="both"/>
        <w:rPr>
          <w:rFonts w:ascii="黑体" w:eastAsia="黑体"/>
          <w:bCs/>
          <w:sz w:val="21"/>
          <w:szCs w:val="32"/>
          <w:highlight w:val="none"/>
        </w:rPr>
      </w:pPr>
      <w:bookmarkStart w:id="28" w:name="_Hlk196741868"/>
      <w:r>
        <w:rPr>
          <w:rFonts w:hint="eastAsia" w:ascii="黑体" w:hAnsi="黑体" w:eastAsia="黑体"/>
          <w:sz w:val="21"/>
          <w:szCs w:val="21"/>
          <w:highlight w:val="none"/>
        </w:rPr>
        <w:t>血管内冲击波治疗设备</w:t>
      </w:r>
      <w:bookmarkEnd w:id="28"/>
      <w:r>
        <w:rPr>
          <w:rFonts w:ascii="黑体" w:hAnsi="黑体" w:eastAsia="黑体"/>
          <w:sz w:val="21"/>
          <w:szCs w:val="21"/>
          <w:highlight w:val="none"/>
        </w:rPr>
        <w:t xml:space="preserve">  </w:t>
      </w:r>
      <w:r>
        <w:rPr>
          <w:rFonts w:eastAsia="黑体"/>
          <w:b/>
          <w:bCs/>
          <w:sz w:val="21"/>
          <w:szCs w:val="24"/>
          <w:highlight w:val="none"/>
        </w:rPr>
        <w:t>intravascular shock wave treatment</w:t>
      </w:r>
      <w:r>
        <w:rPr>
          <w:rFonts w:hint="eastAsia" w:eastAsia="黑体"/>
          <w:b/>
          <w:bCs/>
          <w:sz w:val="21"/>
          <w:szCs w:val="24"/>
          <w:highlight w:val="none"/>
        </w:rPr>
        <w:t xml:space="preserve"> e</w:t>
      </w:r>
      <w:r>
        <w:rPr>
          <w:rFonts w:eastAsia="黑体"/>
          <w:b/>
          <w:bCs/>
          <w:sz w:val="21"/>
          <w:szCs w:val="24"/>
          <w:highlight w:val="none"/>
        </w:rPr>
        <w:t>quipment</w:t>
      </w:r>
    </w:p>
    <w:p w14:paraId="437AF1A3">
      <w:pPr>
        <w:pStyle w:val="20"/>
        <w:ind w:firstLine="420" w:firstLineChars="200"/>
        <w:jc w:val="both"/>
        <w:rPr>
          <w:sz w:val="21"/>
          <w:szCs w:val="21"/>
          <w:highlight w:val="none"/>
        </w:rPr>
      </w:pPr>
      <w:r>
        <w:rPr>
          <w:rFonts w:hint="eastAsia"/>
          <w:sz w:val="21"/>
          <w:szCs w:val="21"/>
          <w:highlight w:val="none"/>
        </w:rPr>
        <w:t>预期与血管内冲击波导管配合使用，利用高电压脉冲放电产生冲击波能量，对钙化病变的血管系统进行预处理的手术设备。</w:t>
      </w:r>
    </w:p>
    <w:p w14:paraId="573FB90E">
      <w:pPr>
        <w:pStyle w:val="3"/>
        <w:spacing w:line="240" w:lineRule="auto"/>
        <w:rPr>
          <w:highlight w:val="none"/>
        </w:rPr>
      </w:pPr>
      <w:r>
        <w:rPr>
          <w:b w:val="0"/>
          <w:highlight w:val="none"/>
        </w:rPr>
        <w:t>3.</w:t>
      </w:r>
      <w:r>
        <w:rPr>
          <w:rFonts w:hint="eastAsia"/>
          <w:b w:val="0"/>
          <w:highlight w:val="none"/>
        </w:rPr>
        <w:t>2</w:t>
      </w:r>
    </w:p>
    <w:p w14:paraId="42AB400D">
      <w:pPr>
        <w:pStyle w:val="20"/>
        <w:ind w:firstLine="420" w:firstLineChars="200"/>
        <w:jc w:val="both"/>
        <w:rPr>
          <w:rFonts w:ascii="黑体" w:eastAsia="黑体"/>
          <w:bCs/>
          <w:sz w:val="21"/>
          <w:szCs w:val="32"/>
          <w:highlight w:val="none"/>
        </w:rPr>
      </w:pPr>
      <w:r>
        <w:rPr>
          <w:rFonts w:hint="eastAsia" w:ascii="黑体" w:hAnsi="黑体" w:eastAsia="黑体"/>
          <w:sz w:val="21"/>
          <w:szCs w:val="21"/>
          <w:highlight w:val="none"/>
        </w:rPr>
        <w:t>血管内冲击波导管</w:t>
      </w:r>
      <w:r>
        <w:rPr>
          <w:rFonts w:ascii="黑体" w:hAnsi="黑体" w:eastAsia="黑体"/>
          <w:sz w:val="21"/>
          <w:szCs w:val="21"/>
          <w:highlight w:val="none"/>
        </w:rPr>
        <w:t xml:space="preserve">  </w:t>
      </w:r>
      <w:r>
        <w:rPr>
          <w:rFonts w:hint="eastAsia" w:eastAsia="黑体"/>
          <w:b/>
          <w:bCs/>
          <w:sz w:val="21"/>
          <w:szCs w:val="24"/>
          <w:highlight w:val="none"/>
        </w:rPr>
        <w:t>i</w:t>
      </w:r>
      <w:r>
        <w:rPr>
          <w:rFonts w:hint="eastAsia" w:ascii="Times New Roman" w:hAnsi="Times New Roman" w:eastAsia="黑体"/>
          <w:b/>
          <w:bCs/>
          <w:sz w:val="21"/>
          <w:szCs w:val="24"/>
          <w:highlight w:val="none"/>
        </w:rPr>
        <w:t xml:space="preserve">ntravascular </w:t>
      </w:r>
      <w:r>
        <w:rPr>
          <w:rFonts w:hint="eastAsia" w:eastAsia="黑体"/>
          <w:b/>
          <w:bCs/>
          <w:sz w:val="21"/>
          <w:szCs w:val="24"/>
          <w:highlight w:val="none"/>
        </w:rPr>
        <w:t>s</w:t>
      </w:r>
      <w:r>
        <w:rPr>
          <w:rFonts w:hint="eastAsia" w:ascii="Times New Roman" w:hAnsi="Times New Roman" w:eastAsia="黑体"/>
          <w:b/>
          <w:bCs/>
          <w:sz w:val="21"/>
          <w:szCs w:val="24"/>
          <w:highlight w:val="none"/>
        </w:rPr>
        <w:t xml:space="preserve">hock </w:t>
      </w:r>
      <w:r>
        <w:rPr>
          <w:rFonts w:hint="eastAsia" w:eastAsia="黑体"/>
          <w:b/>
          <w:bCs/>
          <w:sz w:val="21"/>
          <w:szCs w:val="24"/>
          <w:highlight w:val="none"/>
        </w:rPr>
        <w:t>w</w:t>
      </w:r>
      <w:r>
        <w:rPr>
          <w:rFonts w:hint="eastAsia" w:ascii="Times New Roman" w:hAnsi="Times New Roman" w:eastAsia="黑体"/>
          <w:b/>
          <w:bCs/>
          <w:sz w:val="21"/>
          <w:szCs w:val="24"/>
          <w:highlight w:val="none"/>
        </w:rPr>
        <w:t xml:space="preserve">ave </w:t>
      </w:r>
      <w:r>
        <w:rPr>
          <w:rFonts w:hint="eastAsia" w:eastAsia="黑体"/>
          <w:b/>
          <w:bCs/>
          <w:sz w:val="21"/>
          <w:szCs w:val="24"/>
          <w:highlight w:val="none"/>
        </w:rPr>
        <w:t>c</w:t>
      </w:r>
      <w:r>
        <w:rPr>
          <w:rFonts w:hint="eastAsia" w:ascii="Times New Roman" w:hAnsi="Times New Roman" w:eastAsia="黑体"/>
          <w:b/>
          <w:bCs/>
          <w:sz w:val="21"/>
          <w:szCs w:val="24"/>
          <w:highlight w:val="none"/>
        </w:rPr>
        <w:t>atheter</w:t>
      </w:r>
    </w:p>
    <w:p w14:paraId="1AD59BD8">
      <w:pPr>
        <w:pStyle w:val="20"/>
        <w:ind w:firstLine="420" w:firstLineChars="200"/>
        <w:jc w:val="both"/>
        <w:rPr>
          <w:sz w:val="21"/>
          <w:szCs w:val="21"/>
          <w:highlight w:val="none"/>
        </w:rPr>
      </w:pPr>
      <w:r>
        <w:rPr>
          <w:rFonts w:hint="eastAsia"/>
          <w:sz w:val="21"/>
          <w:szCs w:val="21"/>
          <w:highlight w:val="none"/>
        </w:rPr>
        <w:t>与血管内冲击波治疗设备配合使用的手术附件，具有电极组件，能够在血管内把设备输出的高电压脉冲转换为冲击波脉冲能量，释放到血管内钙化病变位置，对钙化病变的血管系统进行预处理。</w:t>
      </w:r>
    </w:p>
    <w:p w14:paraId="544CBF77">
      <w:pPr>
        <w:pStyle w:val="3"/>
        <w:spacing w:line="240" w:lineRule="auto"/>
        <w:rPr>
          <w:b w:val="0"/>
          <w:highlight w:val="none"/>
        </w:rPr>
      </w:pPr>
      <w:bookmarkStart w:id="29" w:name="_Toc130395572"/>
      <w:bookmarkStart w:id="30" w:name="_Toc7381228"/>
      <w:bookmarkStart w:id="31" w:name="_Toc22305103"/>
      <w:bookmarkStart w:id="32" w:name="_Toc130395887"/>
      <w:bookmarkStart w:id="33" w:name="_Toc53497791"/>
      <w:bookmarkStart w:id="34" w:name="_Toc130396193"/>
      <w:bookmarkStart w:id="35" w:name="_Toc129190707"/>
      <w:bookmarkStart w:id="36" w:name="_Toc131438327"/>
      <w:bookmarkStart w:id="37" w:name="_Toc132899279"/>
      <w:bookmarkStart w:id="38" w:name="_Toc131438419"/>
      <w:bookmarkStart w:id="39" w:name="_Toc131438518"/>
      <w:bookmarkStart w:id="40" w:name="_Hlk527718279"/>
      <w:r>
        <w:rPr>
          <w:b w:val="0"/>
          <w:highlight w:val="none"/>
        </w:rPr>
        <w:t>3.</w:t>
      </w:r>
      <w:bookmarkEnd w:id="29"/>
      <w:bookmarkEnd w:id="30"/>
      <w:bookmarkEnd w:id="31"/>
      <w:bookmarkEnd w:id="32"/>
      <w:bookmarkEnd w:id="33"/>
      <w:bookmarkEnd w:id="34"/>
      <w:bookmarkEnd w:id="35"/>
      <w:r>
        <w:rPr>
          <w:rFonts w:hint="eastAsia"/>
          <w:b w:val="0"/>
          <w:highlight w:val="none"/>
        </w:rPr>
        <w:t>3</w:t>
      </w:r>
      <w:bookmarkEnd w:id="36"/>
      <w:bookmarkEnd w:id="37"/>
      <w:bookmarkEnd w:id="38"/>
      <w:bookmarkEnd w:id="39"/>
    </w:p>
    <w:p w14:paraId="49C492C4">
      <w:pPr>
        <w:pStyle w:val="20"/>
        <w:ind w:firstLine="420" w:firstLineChars="200"/>
        <w:jc w:val="both"/>
        <w:rPr>
          <w:rFonts w:eastAsia="黑体"/>
          <w:b/>
          <w:bCs/>
          <w:sz w:val="21"/>
          <w:szCs w:val="24"/>
          <w:highlight w:val="none"/>
        </w:rPr>
      </w:pPr>
      <w:r>
        <w:rPr>
          <w:rFonts w:hint="eastAsia" w:ascii="黑体" w:hAnsi="黑体" w:eastAsia="黑体"/>
          <w:sz w:val="21"/>
          <w:szCs w:val="21"/>
          <w:highlight w:val="none"/>
        </w:rPr>
        <w:t xml:space="preserve">连续脉冲频率 </w:t>
      </w:r>
      <w:r>
        <w:rPr>
          <w:rFonts w:ascii="黑体" w:hAnsi="黑体" w:eastAsia="黑体"/>
          <w:sz w:val="21"/>
          <w:szCs w:val="21"/>
          <w:highlight w:val="none"/>
        </w:rPr>
        <w:t xml:space="preserve"> </w:t>
      </w:r>
      <w:r>
        <w:rPr>
          <w:rFonts w:hint="eastAsia" w:eastAsia="黑体"/>
          <w:b/>
          <w:bCs/>
          <w:sz w:val="21"/>
          <w:szCs w:val="24"/>
          <w:highlight w:val="none"/>
        </w:rPr>
        <w:t>c</w:t>
      </w:r>
      <w:r>
        <w:rPr>
          <w:rFonts w:eastAsia="黑体"/>
          <w:b/>
          <w:bCs/>
          <w:sz w:val="21"/>
          <w:szCs w:val="24"/>
          <w:highlight w:val="none"/>
        </w:rPr>
        <w:t>ontinuous pulse frequency</w:t>
      </w:r>
    </w:p>
    <w:p w14:paraId="153F51BB">
      <w:pPr>
        <w:pStyle w:val="20"/>
        <w:ind w:firstLine="420" w:firstLineChars="200"/>
        <w:jc w:val="both"/>
        <w:rPr>
          <w:sz w:val="21"/>
          <w:szCs w:val="21"/>
          <w:highlight w:val="none"/>
        </w:rPr>
      </w:pPr>
      <w:r>
        <w:rPr>
          <w:rFonts w:hint="eastAsia"/>
          <w:sz w:val="21"/>
          <w:szCs w:val="21"/>
          <w:highlight w:val="none"/>
        </w:rPr>
        <w:t>在连续释放冲击波脉冲状态下，最高的冲击波脉冲频率，单位为赫兹（H</w:t>
      </w:r>
      <w:r>
        <w:rPr>
          <w:sz w:val="21"/>
          <w:szCs w:val="21"/>
          <w:highlight w:val="none"/>
        </w:rPr>
        <w:t>z</w:t>
      </w:r>
      <w:r>
        <w:rPr>
          <w:rFonts w:hint="eastAsia"/>
          <w:sz w:val="21"/>
          <w:szCs w:val="21"/>
          <w:highlight w:val="none"/>
        </w:rPr>
        <w:t>）。</w:t>
      </w:r>
    </w:p>
    <w:p w14:paraId="4E44ED69">
      <w:pPr>
        <w:pStyle w:val="3"/>
        <w:spacing w:line="240" w:lineRule="auto"/>
        <w:rPr>
          <w:b w:val="0"/>
          <w:highlight w:val="none"/>
        </w:rPr>
      </w:pPr>
      <w:bookmarkStart w:id="41" w:name="_Toc22305104"/>
      <w:bookmarkStart w:id="42" w:name="_Toc129190708"/>
      <w:bookmarkStart w:id="43" w:name="_Toc131438328"/>
      <w:bookmarkStart w:id="44" w:name="_Toc131438519"/>
      <w:bookmarkStart w:id="45" w:name="_Toc7381229"/>
      <w:bookmarkStart w:id="46" w:name="_Toc130396194"/>
      <w:bookmarkStart w:id="47" w:name="_Toc132899280"/>
      <w:bookmarkStart w:id="48" w:name="_Toc130395573"/>
      <w:bookmarkStart w:id="49" w:name="_Toc130395888"/>
      <w:bookmarkStart w:id="50" w:name="_Toc131438420"/>
      <w:bookmarkStart w:id="51" w:name="_Toc53497792"/>
      <w:r>
        <w:rPr>
          <w:b w:val="0"/>
          <w:highlight w:val="none"/>
        </w:rPr>
        <w:t>3.</w:t>
      </w:r>
      <w:bookmarkEnd w:id="41"/>
      <w:bookmarkEnd w:id="42"/>
      <w:bookmarkEnd w:id="43"/>
      <w:bookmarkEnd w:id="44"/>
      <w:bookmarkEnd w:id="45"/>
      <w:bookmarkEnd w:id="46"/>
      <w:bookmarkEnd w:id="47"/>
      <w:bookmarkEnd w:id="48"/>
      <w:bookmarkEnd w:id="49"/>
      <w:bookmarkEnd w:id="50"/>
      <w:bookmarkEnd w:id="51"/>
      <w:r>
        <w:rPr>
          <w:rFonts w:hint="eastAsia"/>
          <w:b w:val="0"/>
          <w:highlight w:val="none"/>
        </w:rPr>
        <w:t>4</w:t>
      </w:r>
    </w:p>
    <w:p w14:paraId="4554C17E">
      <w:pPr>
        <w:pStyle w:val="20"/>
        <w:ind w:firstLine="420" w:firstLineChars="200"/>
        <w:jc w:val="both"/>
        <w:rPr>
          <w:rFonts w:eastAsia="黑体"/>
          <w:b/>
          <w:bCs/>
          <w:sz w:val="21"/>
          <w:szCs w:val="24"/>
          <w:highlight w:val="none"/>
        </w:rPr>
      </w:pPr>
      <w:bookmarkStart w:id="52" w:name="_Hlk196742214"/>
      <w:r>
        <w:rPr>
          <w:rFonts w:hint="eastAsia" w:ascii="黑体" w:hAnsi="黑体" w:eastAsia="黑体"/>
          <w:sz w:val="21"/>
          <w:szCs w:val="21"/>
          <w:highlight w:val="none"/>
        </w:rPr>
        <w:t xml:space="preserve">高电压脉冲宽度 </w:t>
      </w:r>
      <w:r>
        <w:rPr>
          <w:rFonts w:hint="eastAsia" w:eastAsia="黑体"/>
          <w:b/>
          <w:bCs/>
          <w:sz w:val="21"/>
          <w:szCs w:val="24"/>
          <w:highlight w:val="none"/>
        </w:rPr>
        <w:t>h</w:t>
      </w:r>
      <w:r>
        <w:rPr>
          <w:rFonts w:hint="eastAsia" w:ascii="Times New Roman" w:hAnsi="Times New Roman" w:eastAsia="黑体"/>
          <w:b/>
          <w:bCs/>
          <w:sz w:val="21"/>
          <w:szCs w:val="24"/>
          <w:highlight w:val="none"/>
        </w:rPr>
        <w:t>igh voltage</w:t>
      </w:r>
      <w:r>
        <w:rPr>
          <w:rFonts w:hint="eastAsia" w:ascii="黑体" w:hAnsi="黑体" w:eastAsia="黑体"/>
          <w:sz w:val="21"/>
          <w:szCs w:val="21"/>
          <w:highlight w:val="none"/>
        </w:rPr>
        <w:t xml:space="preserve"> </w:t>
      </w:r>
      <w:r>
        <w:rPr>
          <w:rFonts w:eastAsia="黑体"/>
          <w:b/>
          <w:bCs/>
          <w:sz w:val="21"/>
          <w:szCs w:val="24"/>
          <w:highlight w:val="none"/>
        </w:rPr>
        <w:t>pulse width</w:t>
      </w:r>
    </w:p>
    <w:p w14:paraId="589B6369">
      <w:pPr>
        <w:pStyle w:val="20"/>
        <w:ind w:firstLine="420" w:firstLineChars="200"/>
        <w:jc w:val="left"/>
        <w:rPr>
          <w:rFonts w:hint="eastAsia" w:ascii="Cambria Math" w:hAnsi="Cambria Math" w:eastAsia="宋体"/>
          <w:i/>
          <w:iCs/>
          <w:sz w:val="21"/>
          <w:szCs w:val="21"/>
          <w:highlight w:val="none"/>
        </w:rPr>
      </w:pPr>
      <w:r>
        <w:rPr>
          <w:rFonts w:ascii="Cambria Math" w:hAnsi="Cambria Math" w:eastAsia="宋体"/>
          <w:b w:val="0"/>
          <w:bCs w:val="0"/>
          <w:i/>
          <w:iCs/>
          <w:sz w:val="21"/>
          <w:szCs w:val="21"/>
          <w:highlight w:val="none"/>
        </w:rPr>
        <w:t>t</w:t>
      </w:r>
      <w:r>
        <w:rPr>
          <w:rFonts w:ascii="Cambria Math" w:hAnsi="Cambria Math" w:eastAsia="宋体"/>
          <w:b w:val="0"/>
          <w:bCs w:val="0"/>
          <w:i/>
          <w:iCs/>
          <w:sz w:val="21"/>
          <w:szCs w:val="21"/>
          <w:highlight w:val="none"/>
          <w:vertAlign w:val="subscript"/>
        </w:rPr>
        <w:t>w</w:t>
      </w:r>
    </w:p>
    <w:bookmarkEnd w:id="52"/>
    <w:p w14:paraId="5F8FCB46">
      <w:pPr>
        <w:pStyle w:val="20"/>
        <w:ind w:firstLine="420" w:firstLineChars="200"/>
        <w:jc w:val="left"/>
        <w:rPr>
          <w:sz w:val="21"/>
          <w:szCs w:val="21"/>
          <w:highlight w:val="none"/>
        </w:rPr>
      </w:pPr>
      <w:bookmarkStart w:id="53" w:name="_Hlk132889601"/>
      <w:bookmarkStart w:id="54" w:name="OLE_LINK16"/>
      <w:r>
        <w:rPr>
          <w:rFonts w:hint="eastAsia"/>
          <w:sz w:val="21"/>
          <w:szCs w:val="21"/>
          <w:highlight w:val="none"/>
        </w:rPr>
        <w:t>高压电压幅值</w:t>
      </w:r>
      <w:bookmarkStart w:id="55" w:name="_Hlk132894088"/>
      <w:r>
        <w:rPr>
          <w:rFonts w:hint="eastAsia"/>
          <w:sz w:val="21"/>
          <w:szCs w:val="21"/>
          <w:highlight w:val="none"/>
        </w:rPr>
        <w:t>从第一次超过</w:t>
      </w:r>
      <w:bookmarkEnd w:id="55"/>
      <w:r>
        <w:rPr>
          <w:rFonts w:hint="eastAsia"/>
          <w:sz w:val="21"/>
          <w:szCs w:val="21"/>
          <w:highlight w:val="none"/>
        </w:rPr>
        <w:t>最大值的</w:t>
      </w:r>
      <w:r>
        <w:rPr>
          <w:sz w:val="21"/>
          <w:szCs w:val="21"/>
          <w:highlight w:val="none"/>
        </w:rPr>
        <w:t>90%</w:t>
      </w:r>
      <w:r>
        <w:rPr>
          <w:rFonts w:hint="eastAsia"/>
          <w:sz w:val="21"/>
          <w:szCs w:val="21"/>
          <w:highlight w:val="none"/>
        </w:rPr>
        <w:t>到第一次降低到最大值的</w:t>
      </w:r>
      <w:r>
        <w:rPr>
          <w:sz w:val="21"/>
          <w:szCs w:val="21"/>
          <w:highlight w:val="none"/>
        </w:rPr>
        <w:t>90%</w:t>
      </w:r>
      <w:r>
        <w:rPr>
          <w:rFonts w:hint="eastAsia"/>
          <w:sz w:val="21"/>
          <w:szCs w:val="21"/>
          <w:highlight w:val="none"/>
        </w:rPr>
        <w:t>之间</w:t>
      </w:r>
      <w:bookmarkEnd w:id="53"/>
      <w:r>
        <w:rPr>
          <w:rFonts w:hint="eastAsia"/>
          <w:sz w:val="21"/>
          <w:szCs w:val="21"/>
          <w:highlight w:val="none"/>
        </w:rPr>
        <w:t>的时间，单位为微秒（</w:t>
      </w:r>
      <w:r>
        <w:rPr>
          <w:sz w:val="21"/>
          <w:szCs w:val="21"/>
          <w:highlight w:val="none"/>
        </w:rPr>
        <w:t>μs</w:t>
      </w:r>
      <w:r>
        <w:rPr>
          <w:rFonts w:hint="eastAsia"/>
          <w:sz w:val="21"/>
          <w:szCs w:val="21"/>
          <w:highlight w:val="none"/>
        </w:rPr>
        <w:t>）</w:t>
      </w:r>
      <w:bookmarkEnd w:id="54"/>
      <w:r>
        <w:rPr>
          <w:rFonts w:hint="eastAsia"/>
          <w:sz w:val="21"/>
          <w:szCs w:val="21"/>
          <w:highlight w:val="none"/>
        </w:rPr>
        <w:t>。</w:t>
      </w:r>
    </w:p>
    <w:p w14:paraId="7E5D71CE">
      <w:pPr>
        <w:pStyle w:val="3"/>
        <w:spacing w:line="240" w:lineRule="auto"/>
        <w:rPr>
          <w:b w:val="0"/>
          <w:highlight w:val="none"/>
        </w:rPr>
      </w:pPr>
      <w:bookmarkStart w:id="56" w:name="_Toc132899285"/>
      <w:bookmarkStart w:id="57" w:name="_Toc131438524"/>
      <w:bookmarkStart w:id="58" w:name="_Toc131438333"/>
      <w:bookmarkStart w:id="59" w:name="_Toc131438425"/>
      <w:r>
        <w:rPr>
          <w:rFonts w:hint="eastAsia"/>
          <w:b w:val="0"/>
          <w:highlight w:val="none"/>
        </w:rPr>
        <w:t>3.5</w:t>
      </w:r>
      <w:bookmarkEnd w:id="56"/>
      <w:bookmarkEnd w:id="57"/>
      <w:bookmarkEnd w:id="58"/>
      <w:bookmarkEnd w:id="59"/>
    </w:p>
    <w:p w14:paraId="61E3F328">
      <w:pPr>
        <w:pStyle w:val="20"/>
        <w:ind w:firstLine="420" w:firstLineChars="200"/>
        <w:jc w:val="both"/>
        <w:rPr>
          <w:rFonts w:hint="eastAsia" w:ascii="黑体" w:hAnsi="黑体" w:eastAsia="黑体"/>
          <w:sz w:val="21"/>
          <w:szCs w:val="21"/>
          <w:highlight w:val="none"/>
        </w:rPr>
      </w:pPr>
      <w:r>
        <w:rPr>
          <w:rFonts w:hint="eastAsia" w:ascii="黑体" w:hAnsi="黑体" w:eastAsia="黑体"/>
          <w:sz w:val="21"/>
          <w:szCs w:val="21"/>
          <w:highlight w:val="none"/>
        </w:rPr>
        <w:t>正峰值声压</w:t>
      </w:r>
      <w:r>
        <w:rPr>
          <w:rFonts w:ascii="黑体" w:hAnsi="黑体" w:eastAsia="黑体"/>
          <w:sz w:val="21"/>
          <w:szCs w:val="21"/>
          <w:highlight w:val="none"/>
        </w:rPr>
        <w:t xml:space="preserve"> </w:t>
      </w:r>
      <w:r>
        <w:rPr>
          <w:rFonts w:eastAsia="黑体"/>
          <w:b/>
          <w:bCs/>
          <w:sz w:val="21"/>
          <w:szCs w:val="24"/>
          <w:highlight w:val="none"/>
        </w:rPr>
        <w:t>peak-positive acoustic pressure</w:t>
      </w:r>
    </w:p>
    <w:p w14:paraId="00F4212C">
      <w:pPr>
        <w:pStyle w:val="20"/>
        <w:ind w:firstLine="420" w:firstLineChars="200"/>
        <w:jc w:val="left"/>
        <w:rPr>
          <w:rFonts w:ascii="Cambria Math" w:hAnsi="Cambria Math"/>
          <w:i/>
          <w:iCs/>
          <w:sz w:val="21"/>
          <w:szCs w:val="21"/>
          <w:highlight w:val="none"/>
        </w:rPr>
      </w:pPr>
      <w:r>
        <w:rPr>
          <w:rFonts w:ascii="Cambria Math" w:hAnsi="Cambria Math"/>
          <w:i/>
          <w:iCs/>
          <w:sz w:val="21"/>
          <w:szCs w:val="21"/>
          <w:highlight w:val="none"/>
        </w:rPr>
        <w:t>p</w:t>
      </w:r>
      <w:r>
        <w:rPr>
          <w:rFonts w:ascii="Cambria Math" w:hAnsi="Cambria Math"/>
          <w:sz w:val="21"/>
          <w:szCs w:val="21"/>
          <w:highlight w:val="none"/>
          <w:vertAlign w:val="subscript"/>
        </w:rPr>
        <w:t>+</w:t>
      </w:r>
    </w:p>
    <w:p w14:paraId="30A94E15">
      <w:pPr>
        <w:pStyle w:val="20"/>
        <w:ind w:firstLine="420" w:firstLineChars="200"/>
        <w:jc w:val="left"/>
        <w:rPr>
          <w:sz w:val="21"/>
          <w:szCs w:val="21"/>
          <w:highlight w:val="none"/>
        </w:rPr>
      </w:pPr>
      <w:r>
        <w:rPr>
          <w:rFonts w:hint="eastAsia"/>
          <w:sz w:val="21"/>
          <w:szCs w:val="21"/>
          <w:highlight w:val="none"/>
        </w:rPr>
        <w:t>声场中或某一指定平面上在声重复周期中正瞬时声压的最大值。单位为帕[斯卡]（Pa）。</w:t>
      </w:r>
    </w:p>
    <w:p w14:paraId="6A253ED7">
      <w:pPr>
        <w:pStyle w:val="20"/>
        <w:ind w:firstLine="420" w:firstLineChars="200"/>
        <w:jc w:val="left"/>
        <w:rPr>
          <w:sz w:val="21"/>
          <w:szCs w:val="21"/>
          <w:highlight w:val="none"/>
        </w:rPr>
      </w:pPr>
      <w:bookmarkStart w:id="60" w:name="OLE_LINK5"/>
      <w:r>
        <w:rPr>
          <w:rFonts w:hint="eastAsia"/>
          <w:sz w:val="21"/>
          <w:szCs w:val="21"/>
          <w:highlight w:val="none"/>
        </w:rPr>
        <w:t>[来源：</w:t>
      </w:r>
      <w:r>
        <w:rPr>
          <w:sz w:val="21"/>
          <w:szCs w:val="21"/>
          <w:highlight w:val="none"/>
        </w:rPr>
        <w:t>YY/T0865.1-2011</w:t>
      </w:r>
      <w:r>
        <w:rPr>
          <w:rFonts w:hint="eastAsia"/>
          <w:sz w:val="21"/>
          <w:szCs w:val="21"/>
          <w:highlight w:val="none"/>
        </w:rPr>
        <w:t>，3.45]</w:t>
      </w:r>
    </w:p>
    <w:bookmarkEnd w:id="60"/>
    <w:p w14:paraId="3A7C70A6">
      <w:pPr>
        <w:pStyle w:val="3"/>
        <w:spacing w:line="240" w:lineRule="auto"/>
        <w:rPr>
          <w:b w:val="0"/>
          <w:highlight w:val="none"/>
        </w:rPr>
      </w:pPr>
      <w:r>
        <w:rPr>
          <w:b w:val="0"/>
          <w:highlight w:val="none"/>
        </w:rPr>
        <w:t>3.</w:t>
      </w:r>
      <w:r>
        <w:rPr>
          <w:rFonts w:hint="eastAsia"/>
          <w:b w:val="0"/>
          <w:highlight w:val="none"/>
        </w:rPr>
        <w:t>6</w:t>
      </w:r>
    </w:p>
    <w:p w14:paraId="52FA61AD">
      <w:pPr>
        <w:pStyle w:val="20"/>
        <w:ind w:firstLine="420" w:firstLineChars="200"/>
        <w:jc w:val="both"/>
        <w:rPr>
          <w:rFonts w:hint="eastAsia" w:ascii="黑体" w:hAnsi="黑体" w:eastAsia="黑体"/>
          <w:sz w:val="21"/>
          <w:szCs w:val="21"/>
          <w:highlight w:val="none"/>
        </w:rPr>
      </w:pPr>
      <w:r>
        <w:rPr>
          <w:rFonts w:hint="eastAsia" w:ascii="黑体" w:hAnsi="黑体" w:eastAsia="黑体"/>
          <w:sz w:val="21"/>
          <w:szCs w:val="21"/>
          <w:highlight w:val="none"/>
        </w:rPr>
        <w:t>瞬时声压</w:t>
      </w:r>
      <w:r>
        <w:rPr>
          <w:rFonts w:ascii="黑体" w:hAnsi="黑体" w:eastAsia="黑体"/>
          <w:sz w:val="21"/>
          <w:szCs w:val="21"/>
          <w:highlight w:val="none"/>
        </w:rPr>
        <w:t xml:space="preserve"> </w:t>
      </w:r>
      <w:r>
        <w:rPr>
          <w:rFonts w:hint="eastAsia" w:eastAsia="黑体"/>
          <w:b/>
          <w:bCs/>
          <w:sz w:val="21"/>
          <w:szCs w:val="24"/>
          <w:highlight w:val="none"/>
        </w:rPr>
        <w:t>instantaneous acoustic pressure</w:t>
      </w:r>
    </w:p>
    <w:p w14:paraId="6A820DBA">
      <w:pPr>
        <w:pStyle w:val="20"/>
        <w:ind w:firstLine="420" w:firstLineChars="200"/>
        <w:jc w:val="left"/>
        <w:rPr>
          <w:rFonts w:ascii="Cambria Math" w:hAnsi="Cambria Math" w:eastAsiaTheme="minorEastAsia"/>
          <w:i/>
          <w:iCs/>
          <w:sz w:val="21"/>
          <w:szCs w:val="21"/>
          <w:highlight w:val="none"/>
        </w:rPr>
      </w:pPr>
      <w:r>
        <w:rPr>
          <w:rFonts w:hint="eastAsia" w:ascii="Cambria Math" w:hAnsi="Cambria Math" w:eastAsiaTheme="minorEastAsia"/>
          <w:i/>
          <w:iCs/>
          <w:sz w:val="21"/>
          <w:szCs w:val="21"/>
          <w:highlight w:val="none"/>
        </w:rPr>
        <w:t>p(t)</w:t>
      </w:r>
    </w:p>
    <w:p w14:paraId="1A557748">
      <w:pPr>
        <w:pStyle w:val="20"/>
        <w:ind w:firstLine="420" w:firstLineChars="200"/>
        <w:jc w:val="left"/>
        <w:rPr>
          <w:sz w:val="21"/>
          <w:szCs w:val="21"/>
          <w:highlight w:val="none"/>
        </w:rPr>
      </w:pPr>
      <w:r>
        <w:rPr>
          <w:rFonts w:hint="eastAsia"/>
          <w:sz w:val="21"/>
          <w:szCs w:val="21"/>
          <w:highlight w:val="none"/>
        </w:rPr>
        <w:t>在声场中特定时刻的特定点， 减去环境压力后的声压，单位为帕[斯卡]（Pa）。</w:t>
      </w:r>
    </w:p>
    <w:p w14:paraId="5BCDCF69">
      <w:pPr>
        <w:pStyle w:val="20"/>
        <w:ind w:firstLine="420" w:firstLineChars="200"/>
        <w:jc w:val="left"/>
        <w:rPr>
          <w:sz w:val="21"/>
          <w:szCs w:val="21"/>
          <w:highlight w:val="none"/>
        </w:rPr>
      </w:pPr>
      <w:r>
        <w:rPr>
          <w:rFonts w:hint="eastAsia"/>
          <w:sz w:val="21"/>
          <w:szCs w:val="21"/>
          <w:highlight w:val="none"/>
        </w:rPr>
        <w:t>水听器测得的声场中某点的瞬时声压</w:t>
      </w:r>
      <w:r>
        <w:rPr>
          <w:rFonts w:hint="eastAsia"/>
          <w:i/>
          <w:iCs/>
          <w:sz w:val="21"/>
          <w:szCs w:val="21"/>
          <w:highlight w:val="none"/>
        </w:rPr>
        <w:t xml:space="preserve">p(t) </w:t>
      </w:r>
      <w:r>
        <w:rPr>
          <w:rFonts w:hint="eastAsia"/>
          <w:sz w:val="21"/>
          <w:szCs w:val="21"/>
          <w:highlight w:val="none"/>
        </w:rPr>
        <w:t>用式(1) 计算</w:t>
      </w:r>
    </w:p>
    <w:p w14:paraId="019AC936">
      <w:pPr>
        <w:pStyle w:val="20"/>
        <w:ind w:firstLine="420" w:firstLineChars="200"/>
        <w:jc w:val="right"/>
        <w:rPr>
          <w:sz w:val="21"/>
          <w:szCs w:val="21"/>
          <w:highlight w:val="none"/>
        </w:rPr>
      </w:pPr>
      <m:oMath>
        <m:r>
          <m:rPr/>
          <w:rPr>
            <w:rFonts w:ascii="Cambria Math" w:hAnsi="Cambria Math" w:cs="宋体"/>
            <w:sz w:val="21"/>
            <w:szCs w:val="21"/>
            <w:highlight w:val="none"/>
          </w:rPr>
          <m:t>p</m:t>
        </m:r>
        <m:d>
          <m:dPr>
            <m:ctrlPr>
              <w:rPr>
                <w:rFonts w:ascii="Cambria Math" w:hAnsi="Cambria Math" w:cs="宋体"/>
                <w:i/>
                <w:sz w:val="21"/>
                <w:szCs w:val="21"/>
                <w:highlight w:val="none"/>
              </w:rPr>
            </m:ctrlPr>
          </m:dPr>
          <m:e>
            <m:r>
              <m:rPr/>
              <w:rPr>
                <w:rFonts w:ascii="Cambria Math" w:hAnsi="Cambria Math" w:cs="宋体"/>
                <w:sz w:val="21"/>
                <w:szCs w:val="21"/>
                <w:highlight w:val="none"/>
              </w:rPr>
              <m:t>t</m:t>
            </m:r>
            <m:ctrlPr>
              <w:rPr>
                <w:rFonts w:ascii="Cambria Math" w:hAnsi="Cambria Math" w:cs="宋体"/>
                <w:i/>
                <w:sz w:val="21"/>
                <w:szCs w:val="21"/>
                <w:highlight w:val="none"/>
              </w:rPr>
            </m:ctrlPr>
          </m:e>
        </m:d>
        <m:r>
          <m:rPr/>
          <w:rPr>
            <w:rFonts w:ascii="Cambria Math" w:hAnsi="Cambria Math" w:cs="宋体"/>
            <w:sz w:val="21"/>
            <w:szCs w:val="21"/>
            <w:highlight w:val="none"/>
          </w:rPr>
          <m:t>=</m:t>
        </m:r>
        <m:sSub>
          <m:sSubPr>
            <m:ctrlPr>
              <w:rPr>
                <w:rFonts w:ascii="Cambria Math" w:hAnsi="Cambria Math" w:cs="宋体"/>
                <w:i/>
                <w:sz w:val="21"/>
                <w:szCs w:val="21"/>
                <w:highlight w:val="none"/>
              </w:rPr>
            </m:ctrlPr>
          </m:sSubPr>
          <m:e>
            <m:r>
              <m:rPr/>
              <w:rPr>
                <w:rFonts w:ascii="Cambria Math" w:hAnsi="Cambria Math" w:cs="宋体"/>
                <w:sz w:val="21"/>
                <w:szCs w:val="21"/>
                <w:highlight w:val="none"/>
              </w:rPr>
              <m:t>u</m:t>
            </m:r>
            <m:ctrlPr>
              <w:rPr>
                <w:rFonts w:ascii="Cambria Math" w:hAnsi="Cambria Math" w:cs="宋体"/>
                <w:i/>
                <w:sz w:val="21"/>
                <w:szCs w:val="21"/>
                <w:highlight w:val="none"/>
              </w:rPr>
            </m:ctrlPr>
          </m:e>
          <m:sub>
            <m:r>
              <m:rPr/>
              <w:rPr>
                <w:rFonts w:ascii="Cambria Math" w:hAnsi="Cambria Math" w:cs="宋体"/>
                <w:sz w:val="21"/>
                <w:szCs w:val="21"/>
                <w:highlight w:val="none"/>
              </w:rPr>
              <m:t>L</m:t>
            </m:r>
            <m:ctrlPr>
              <w:rPr>
                <w:rFonts w:ascii="Cambria Math" w:hAnsi="Cambria Math" w:cs="宋体"/>
                <w:i/>
                <w:sz w:val="21"/>
                <w:szCs w:val="21"/>
                <w:highlight w:val="none"/>
              </w:rPr>
            </m:ctrlPr>
          </m:sub>
        </m:sSub>
        <m:r>
          <m:rPr/>
          <w:rPr>
            <w:rFonts w:ascii="Cambria Math" w:hAnsi="Cambria Math" w:eastAsia="Cambria Math"/>
            <w:sz w:val="21"/>
            <w:szCs w:val="21"/>
            <w:highlight w:val="none"/>
          </w:rPr>
          <m:t>(</m:t>
        </m:r>
        <m:r>
          <m:rPr/>
          <w:rPr>
            <w:rFonts w:ascii="Cambria Math" w:hAnsi="Cambria Math" w:eastAsiaTheme="minorEastAsia"/>
            <w:sz w:val="21"/>
            <w:szCs w:val="21"/>
            <w:highlight w:val="none"/>
          </w:rPr>
          <m:t>t)/</m:t>
        </m:r>
        <m:sSub>
          <m:sSubPr>
            <m:ctrlPr>
              <w:rPr>
                <w:rFonts w:ascii="Cambria Math" w:hAnsi="Cambria Math" w:eastAsiaTheme="minorEastAsia"/>
                <w:i/>
                <w:sz w:val="21"/>
                <w:szCs w:val="21"/>
                <w:highlight w:val="none"/>
              </w:rPr>
            </m:ctrlPr>
          </m:sSubPr>
          <m:e>
            <m:r>
              <m:rPr/>
              <w:rPr>
                <w:rFonts w:ascii="Cambria Math" w:hAnsi="Cambria Math" w:eastAsiaTheme="minorEastAsia"/>
                <w:sz w:val="21"/>
                <w:szCs w:val="21"/>
                <w:highlight w:val="none"/>
              </w:rPr>
              <m:t>M</m:t>
            </m:r>
            <m:ctrlPr>
              <w:rPr>
                <w:rFonts w:ascii="Cambria Math" w:hAnsi="Cambria Math" w:eastAsiaTheme="minorEastAsia"/>
                <w:i/>
                <w:sz w:val="21"/>
                <w:szCs w:val="21"/>
                <w:highlight w:val="none"/>
              </w:rPr>
            </m:ctrlPr>
          </m:e>
          <m:sub>
            <m:r>
              <m:rPr/>
              <w:rPr>
                <w:rFonts w:ascii="Cambria Math" w:hAnsi="Cambria Math" w:eastAsiaTheme="minorEastAsia"/>
                <w:sz w:val="21"/>
                <w:szCs w:val="21"/>
                <w:highlight w:val="none"/>
              </w:rPr>
              <m:t>L</m:t>
            </m:r>
            <m:ctrlPr>
              <w:rPr>
                <w:rFonts w:ascii="Cambria Math" w:hAnsi="Cambria Math" w:eastAsiaTheme="minorEastAsia"/>
                <w:i/>
                <w:sz w:val="21"/>
                <w:szCs w:val="21"/>
                <w:highlight w:val="none"/>
              </w:rPr>
            </m:ctrlPr>
          </m:sub>
        </m:sSub>
        <m:r>
          <m:rPr/>
          <w:rPr>
            <w:rFonts w:ascii="Cambria Math" w:hAnsi="Cambria Math" w:eastAsiaTheme="minorEastAsia"/>
            <w:sz w:val="21"/>
            <w:szCs w:val="21"/>
            <w:highlight w:val="none"/>
          </w:rPr>
          <m:t>(f)</m:t>
        </m:r>
      </m:oMath>
      <w:r>
        <w:rPr>
          <w:rFonts w:hint="eastAsia" w:eastAsiaTheme="minorEastAsia"/>
          <w:i/>
          <w:sz w:val="21"/>
          <w:szCs w:val="21"/>
          <w:highlight w:val="none"/>
        </w:rPr>
        <w:t xml:space="preserve">                  </w:t>
      </w:r>
      <w:r>
        <w:rPr>
          <w:sz w:val="21"/>
          <w:szCs w:val="21"/>
          <w:highlight w:val="none"/>
        </w:rPr>
        <w:t>······························(1)</w:t>
      </w:r>
    </w:p>
    <w:p w14:paraId="2A25DCD5">
      <w:pPr>
        <w:pStyle w:val="20"/>
        <w:ind w:firstLine="420" w:firstLineChars="200"/>
        <w:jc w:val="left"/>
        <w:rPr>
          <w:sz w:val="21"/>
          <w:szCs w:val="21"/>
          <w:highlight w:val="none"/>
        </w:rPr>
      </w:pPr>
      <w:r>
        <w:rPr>
          <w:rFonts w:hint="eastAsia"/>
          <w:sz w:val="21"/>
          <w:szCs w:val="21"/>
          <w:highlight w:val="none"/>
        </w:rPr>
        <w:t>式中：</w:t>
      </w:r>
    </w:p>
    <w:p w14:paraId="4B749016">
      <w:pPr>
        <w:pStyle w:val="20"/>
        <w:ind w:firstLine="420" w:firstLineChars="200"/>
        <w:jc w:val="left"/>
        <w:rPr>
          <w:sz w:val="21"/>
          <w:szCs w:val="21"/>
          <w:highlight w:val="none"/>
        </w:rPr>
      </w:pPr>
      <m:oMath>
        <m:sSub>
          <m:sSubPr>
            <m:ctrlPr>
              <w:rPr>
                <w:rFonts w:ascii="Cambria Math" w:hAnsi="Cambria Math" w:cs="宋体"/>
                <w:i/>
                <w:sz w:val="21"/>
                <w:szCs w:val="21"/>
                <w:highlight w:val="none"/>
              </w:rPr>
            </m:ctrlPr>
          </m:sSubPr>
          <m:e>
            <m:r>
              <m:rPr/>
              <w:rPr>
                <w:rFonts w:ascii="Cambria Math" w:hAnsi="Cambria Math" w:cs="宋体"/>
                <w:sz w:val="21"/>
                <w:szCs w:val="21"/>
                <w:highlight w:val="none"/>
              </w:rPr>
              <m:t>u</m:t>
            </m:r>
            <m:ctrlPr>
              <w:rPr>
                <w:rFonts w:ascii="Cambria Math" w:hAnsi="Cambria Math" w:cs="宋体"/>
                <w:i/>
                <w:sz w:val="21"/>
                <w:szCs w:val="21"/>
                <w:highlight w:val="none"/>
              </w:rPr>
            </m:ctrlPr>
          </m:e>
          <m:sub>
            <m:r>
              <m:rPr/>
              <w:rPr>
                <w:rFonts w:ascii="Cambria Math" w:hAnsi="Cambria Math" w:cs="宋体"/>
                <w:sz w:val="21"/>
                <w:szCs w:val="21"/>
                <w:highlight w:val="none"/>
              </w:rPr>
              <m:t>L</m:t>
            </m:r>
            <m:ctrlPr>
              <w:rPr>
                <w:rFonts w:ascii="Cambria Math" w:hAnsi="Cambria Math" w:cs="宋体"/>
                <w:i/>
                <w:sz w:val="21"/>
                <w:szCs w:val="21"/>
                <w:highlight w:val="none"/>
              </w:rPr>
            </m:ctrlPr>
          </m:sub>
        </m:sSub>
        <m:r>
          <m:rPr/>
          <w:rPr>
            <w:rFonts w:ascii="Cambria Math" w:hAnsi="Cambria Math" w:eastAsia="Cambria Math"/>
            <w:sz w:val="21"/>
            <w:szCs w:val="21"/>
            <w:highlight w:val="none"/>
          </w:rPr>
          <m:t>(</m:t>
        </m:r>
        <m:r>
          <m:rPr/>
          <w:rPr>
            <w:rFonts w:ascii="Cambria Math" w:hAnsi="Cambria Math" w:eastAsiaTheme="minorEastAsia"/>
            <w:sz w:val="21"/>
            <w:szCs w:val="21"/>
            <w:highlight w:val="none"/>
          </w:rPr>
          <m:t>t)</m:t>
        </m:r>
      </m:oMath>
      <w:r>
        <w:rPr>
          <w:rFonts w:hint="eastAsia"/>
          <w:sz w:val="21"/>
          <w:szCs w:val="21"/>
          <w:highlight w:val="none"/>
        </w:rPr>
        <w:t>：水听器电缆末端电压，V。</w:t>
      </w:r>
    </w:p>
    <w:p w14:paraId="43BBC507">
      <w:pPr>
        <w:pStyle w:val="20"/>
        <w:ind w:firstLine="420" w:firstLineChars="200"/>
        <w:jc w:val="left"/>
        <w:rPr>
          <w:sz w:val="21"/>
          <w:szCs w:val="21"/>
          <w:highlight w:val="none"/>
        </w:rPr>
      </w:pPr>
      <m:oMath>
        <m:sSub>
          <m:sSubPr>
            <m:ctrlPr>
              <w:rPr>
                <w:rFonts w:ascii="Cambria Math" w:hAnsi="Cambria Math" w:eastAsiaTheme="minorEastAsia"/>
                <w:i/>
                <w:sz w:val="21"/>
                <w:szCs w:val="21"/>
                <w:highlight w:val="none"/>
              </w:rPr>
            </m:ctrlPr>
          </m:sSubPr>
          <m:e>
            <m:r>
              <m:rPr/>
              <w:rPr>
                <w:rFonts w:ascii="Cambria Math" w:hAnsi="Cambria Math" w:eastAsiaTheme="minorEastAsia"/>
                <w:sz w:val="21"/>
                <w:szCs w:val="21"/>
                <w:highlight w:val="none"/>
              </w:rPr>
              <m:t>M</m:t>
            </m:r>
            <m:ctrlPr>
              <w:rPr>
                <w:rFonts w:ascii="Cambria Math" w:hAnsi="Cambria Math" w:eastAsiaTheme="minorEastAsia"/>
                <w:i/>
                <w:sz w:val="21"/>
                <w:szCs w:val="21"/>
                <w:highlight w:val="none"/>
              </w:rPr>
            </m:ctrlPr>
          </m:e>
          <m:sub>
            <m:r>
              <m:rPr/>
              <w:rPr>
                <w:rFonts w:ascii="Cambria Math" w:hAnsi="Cambria Math" w:eastAsiaTheme="minorEastAsia"/>
                <w:sz w:val="21"/>
                <w:szCs w:val="21"/>
                <w:highlight w:val="none"/>
              </w:rPr>
              <m:t>L</m:t>
            </m:r>
            <m:ctrlPr>
              <w:rPr>
                <w:rFonts w:ascii="Cambria Math" w:hAnsi="Cambria Math" w:eastAsiaTheme="minorEastAsia"/>
                <w:i/>
                <w:sz w:val="21"/>
                <w:szCs w:val="21"/>
                <w:highlight w:val="none"/>
              </w:rPr>
            </m:ctrlPr>
          </m:sub>
        </m:sSub>
        <m:r>
          <m:rPr/>
          <w:rPr>
            <w:rFonts w:ascii="Cambria Math" w:hAnsi="Cambria Math" w:eastAsiaTheme="minorEastAsia"/>
            <w:sz w:val="21"/>
            <w:szCs w:val="21"/>
            <w:highlight w:val="none"/>
          </w:rPr>
          <m:t>(f)</m:t>
        </m:r>
      </m:oMath>
      <w:r>
        <w:rPr>
          <w:rFonts w:hint="eastAsia"/>
          <w:sz w:val="21"/>
          <w:szCs w:val="21"/>
          <w:highlight w:val="none"/>
        </w:rPr>
        <w:t>：</w:t>
      </w:r>
      <w:bookmarkStart w:id="61" w:name="_Hlk196483219"/>
      <w:r>
        <w:rPr>
          <w:rFonts w:hint="eastAsia" w:ascii="Times New Roman" w:hAnsi="Times New Roman" w:eastAsia="宋体"/>
          <w:sz w:val="21"/>
          <w:szCs w:val="21"/>
          <w:highlight w:val="none"/>
        </w:rPr>
        <w:t>水听器电缆末端有载灵敏度</w:t>
      </w:r>
      <w:bookmarkEnd w:id="61"/>
      <w:r>
        <w:rPr>
          <w:rFonts w:hint="eastAsia"/>
          <w:sz w:val="21"/>
          <w:szCs w:val="21"/>
          <w:highlight w:val="none"/>
        </w:rPr>
        <w:t>，V/Pa。</w:t>
      </w:r>
    </w:p>
    <w:p w14:paraId="3C5FC8C4">
      <w:pPr>
        <w:pStyle w:val="20"/>
        <w:ind w:firstLine="420" w:firstLineChars="200"/>
        <w:jc w:val="left"/>
        <w:rPr>
          <w:sz w:val="21"/>
          <w:szCs w:val="21"/>
          <w:highlight w:val="none"/>
        </w:rPr>
      </w:pPr>
      <w:r>
        <w:rPr>
          <w:sz w:val="21"/>
          <w:szCs w:val="21"/>
          <w:highlight w:val="none"/>
        </w:rPr>
        <w:t>[</w:t>
      </w:r>
      <w:r>
        <w:rPr>
          <w:rFonts w:hint="eastAsia"/>
          <w:sz w:val="21"/>
          <w:szCs w:val="21"/>
          <w:highlight w:val="none"/>
        </w:rPr>
        <w:t>来源：</w:t>
      </w:r>
      <w:r>
        <w:rPr>
          <w:sz w:val="21"/>
          <w:szCs w:val="21"/>
          <w:highlight w:val="none"/>
        </w:rPr>
        <w:t>YY/T0865.1-2011</w:t>
      </w:r>
      <w:r>
        <w:rPr>
          <w:rFonts w:hint="eastAsia"/>
          <w:sz w:val="21"/>
          <w:szCs w:val="21"/>
          <w:highlight w:val="none"/>
        </w:rPr>
        <w:t>，5.1.2</w:t>
      </w:r>
      <w:r>
        <w:rPr>
          <w:sz w:val="21"/>
          <w:szCs w:val="21"/>
          <w:highlight w:val="none"/>
        </w:rPr>
        <w:t>]</w:t>
      </w:r>
    </w:p>
    <w:p w14:paraId="41D4B4DC">
      <w:pPr>
        <w:pStyle w:val="3"/>
        <w:spacing w:line="240" w:lineRule="auto"/>
        <w:ind w:firstLine="420" w:firstLineChars="200"/>
        <w:jc w:val="left"/>
        <w:rPr>
          <w:szCs w:val="21"/>
          <w:highlight w:val="none"/>
        </w:rPr>
      </w:pPr>
      <w:r>
        <w:rPr>
          <w:b w:val="0"/>
          <w:highlight w:val="none"/>
        </w:rPr>
        <w:t>3.</w:t>
      </w:r>
      <w:r>
        <w:rPr>
          <w:rFonts w:hint="eastAsia"/>
          <w:b w:val="0"/>
          <w:highlight w:val="none"/>
        </w:rPr>
        <w:t>7</w:t>
      </w:r>
    </w:p>
    <w:p w14:paraId="0ACFCF17">
      <w:pPr>
        <w:pStyle w:val="20"/>
        <w:ind w:firstLine="420" w:firstLineChars="200"/>
        <w:jc w:val="both"/>
        <w:rPr>
          <w:rFonts w:ascii="黑体" w:hAnsi="黑体" w:eastAsia="黑体"/>
          <w:sz w:val="21"/>
          <w:szCs w:val="21"/>
          <w:highlight w:val="none"/>
        </w:rPr>
      </w:pPr>
      <w:r>
        <w:rPr>
          <w:rFonts w:hint="eastAsia" w:ascii="黑体" w:hAnsi="黑体" w:eastAsia="黑体"/>
          <w:sz w:val="21"/>
          <w:szCs w:val="21"/>
          <w:highlight w:val="none"/>
        </w:rPr>
        <w:t xml:space="preserve">单个周期连续脉冲数 </w:t>
      </w:r>
      <w:r>
        <w:rPr>
          <w:rFonts w:hint="eastAsia" w:eastAsia="黑体"/>
          <w:b/>
          <w:bCs/>
          <w:sz w:val="21"/>
          <w:szCs w:val="24"/>
          <w:highlight w:val="none"/>
        </w:rPr>
        <w:t>n</w:t>
      </w:r>
      <w:r>
        <w:rPr>
          <w:rFonts w:hint="eastAsia" w:ascii="Times New Roman" w:hAnsi="Times New Roman" w:eastAsia="黑体"/>
          <w:b/>
          <w:bCs/>
          <w:sz w:val="21"/>
          <w:szCs w:val="24"/>
          <w:highlight w:val="none"/>
        </w:rPr>
        <w:t xml:space="preserve">umber of </w:t>
      </w:r>
      <w:r>
        <w:rPr>
          <w:rFonts w:hint="eastAsia" w:eastAsia="黑体"/>
          <w:b/>
          <w:bCs/>
          <w:sz w:val="21"/>
          <w:szCs w:val="24"/>
          <w:highlight w:val="none"/>
        </w:rPr>
        <w:t>c</w:t>
      </w:r>
      <w:r>
        <w:rPr>
          <w:rFonts w:hint="eastAsia" w:ascii="Times New Roman" w:hAnsi="Times New Roman" w:eastAsia="黑体"/>
          <w:b/>
          <w:bCs/>
          <w:sz w:val="21"/>
          <w:szCs w:val="24"/>
          <w:highlight w:val="none"/>
        </w:rPr>
        <w:t xml:space="preserve">onsecutive </w:t>
      </w:r>
      <w:r>
        <w:rPr>
          <w:rFonts w:hint="eastAsia" w:eastAsia="黑体"/>
          <w:b/>
          <w:bCs/>
          <w:sz w:val="21"/>
          <w:szCs w:val="24"/>
          <w:highlight w:val="none"/>
        </w:rPr>
        <w:t>p</w:t>
      </w:r>
      <w:r>
        <w:rPr>
          <w:rFonts w:hint="eastAsia" w:ascii="Times New Roman" w:hAnsi="Times New Roman" w:eastAsia="黑体"/>
          <w:b/>
          <w:bCs/>
          <w:sz w:val="21"/>
          <w:szCs w:val="24"/>
          <w:highlight w:val="none"/>
        </w:rPr>
        <w:t xml:space="preserve">ulses per </w:t>
      </w:r>
      <w:r>
        <w:rPr>
          <w:rFonts w:hint="eastAsia" w:eastAsia="黑体"/>
          <w:b/>
          <w:bCs/>
          <w:sz w:val="21"/>
          <w:szCs w:val="24"/>
          <w:highlight w:val="none"/>
        </w:rPr>
        <w:t>s</w:t>
      </w:r>
      <w:r>
        <w:rPr>
          <w:rFonts w:hint="eastAsia" w:ascii="Times New Roman" w:hAnsi="Times New Roman" w:eastAsia="黑体"/>
          <w:b/>
          <w:bCs/>
          <w:sz w:val="21"/>
          <w:szCs w:val="24"/>
          <w:highlight w:val="none"/>
        </w:rPr>
        <w:t xml:space="preserve">ingle </w:t>
      </w:r>
      <w:r>
        <w:rPr>
          <w:rFonts w:hint="eastAsia" w:eastAsia="黑体"/>
          <w:b/>
          <w:bCs/>
          <w:sz w:val="21"/>
          <w:szCs w:val="24"/>
          <w:highlight w:val="none"/>
        </w:rPr>
        <w:t>c</w:t>
      </w:r>
      <w:r>
        <w:rPr>
          <w:rFonts w:hint="eastAsia" w:ascii="Times New Roman" w:hAnsi="Times New Roman" w:eastAsia="黑体"/>
          <w:b/>
          <w:bCs/>
          <w:sz w:val="21"/>
          <w:szCs w:val="24"/>
          <w:highlight w:val="none"/>
        </w:rPr>
        <w:t>ycle</w:t>
      </w:r>
    </w:p>
    <w:p w14:paraId="64C4C177">
      <w:pPr>
        <w:pStyle w:val="20"/>
        <w:ind w:firstLine="420" w:firstLineChars="200"/>
        <w:jc w:val="left"/>
        <w:rPr>
          <w:sz w:val="21"/>
          <w:szCs w:val="21"/>
          <w:highlight w:val="none"/>
        </w:rPr>
      </w:pPr>
      <w:r>
        <w:rPr>
          <w:rFonts w:hint="eastAsia"/>
          <w:sz w:val="21"/>
          <w:szCs w:val="21"/>
          <w:highlight w:val="none"/>
        </w:rPr>
        <w:t>在连续释放冲击波脉冲状态下，从冲击波开始释放至设备自动暂停输出，该期间内设备实际输出的冲击波脉冲数量。</w:t>
      </w:r>
    </w:p>
    <w:p w14:paraId="6D0E7695">
      <w:pPr>
        <w:pStyle w:val="20"/>
        <w:ind w:firstLine="420" w:firstLineChars="200"/>
        <w:jc w:val="left"/>
        <w:rPr>
          <w:sz w:val="21"/>
          <w:szCs w:val="21"/>
          <w:highlight w:val="none"/>
        </w:rPr>
      </w:pPr>
    </w:p>
    <w:bookmarkEnd w:id="40"/>
    <w:p w14:paraId="338CCED3">
      <w:pPr>
        <w:pStyle w:val="3"/>
        <w:spacing w:before="312" w:beforeLines="100" w:after="312" w:afterLines="100" w:line="240" w:lineRule="auto"/>
        <w:rPr>
          <w:b w:val="0"/>
          <w:highlight w:val="none"/>
        </w:rPr>
      </w:pPr>
      <w:bookmarkStart w:id="62" w:name="_Toc141065220"/>
      <w:r>
        <w:rPr>
          <w:b w:val="0"/>
          <w:highlight w:val="none"/>
        </w:rPr>
        <w:t xml:space="preserve">4 </w:t>
      </w:r>
      <w:bookmarkEnd w:id="62"/>
      <w:bookmarkStart w:id="63" w:name="结构组成"/>
      <w:bookmarkEnd w:id="63"/>
      <w:bookmarkStart w:id="64" w:name="_Toc141065222"/>
      <w:bookmarkStart w:id="65" w:name="要求"/>
      <w:r>
        <w:rPr>
          <w:rFonts w:hint="eastAsia"/>
          <w:b w:val="0"/>
          <w:highlight w:val="none"/>
        </w:rPr>
        <w:t>要求</w:t>
      </w:r>
      <w:bookmarkEnd w:id="64"/>
      <w:bookmarkEnd w:id="65"/>
    </w:p>
    <w:p w14:paraId="568160C6">
      <w:pPr>
        <w:pStyle w:val="3"/>
        <w:spacing w:before="156" w:beforeLines="50" w:after="156" w:afterLines="50" w:line="240" w:lineRule="auto"/>
        <w:rPr>
          <w:b w:val="0"/>
          <w:highlight w:val="none"/>
        </w:rPr>
      </w:pPr>
      <w:bookmarkStart w:id="66" w:name="_Toc141065224"/>
      <w:bookmarkStart w:id="67" w:name="_Toc130395894"/>
      <w:bookmarkStart w:id="68" w:name="_Toc132899292"/>
      <w:bookmarkStart w:id="69" w:name="_Toc131438338"/>
      <w:bookmarkStart w:id="70" w:name="_Toc131438430"/>
      <w:bookmarkStart w:id="71" w:name="_Toc130395579"/>
      <w:bookmarkStart w:id="72" w:name="_Toc131438529"/>
      <w:bookmarkStart w:id="73" w:name="_Toc130396200"/>
      <w:bookmarkStart w:id="74" w:name="_Hlk130377701"/>
      <w:r>
        <w:rPr>
          <w:b w:val="0"/>
          <w:highlight w:val="none"/>
        </w:rPr>
        <w:t>4.</w:t>
      </w:r>
      <w:r>
        <w:rPr>
          <w:rFonts w:hint="eastAsia"/>
          <w:b w:val="0"/>
          <w:highlight w:val="none"/>
        </w:rPr>
        <w:t>1</w:t>
      </w:r>
      <w:bookmarkEnd w:id="66"/>
      <w:r>
        <w:rPr>
          <w:b w:val="0"/>
          <w:highlight w:val="none"/>
        </w:rPr>
        <w:t xml:space="preserve">  </w:t>
      </w:r>
      <w:r>
        <w:rPr>
          <w:rFonts w:hint="eastAsia"/>
          <w:b w:val="0"/>
          <w:highlight w:val="none"/>
        </w:rPr>
        <w:t>设备输出参数</w:t>
      </w:r>
      <w:bookmarkEnd w:id="67"/>
      <w:bookmarkEnd w:id="68"/>
      <w:bookmarkEnd w:id="69"/>
      <w:bookmarkEnd w:id="70"/>
      <w:bookmarkEnd w:id="71"/>
      <w:bookmarkEnd w:id="72"/>
      <w:bookmarkEnd w:id="73"/>
    </w:p>
    <w:p w14:paraId="5B58AB02">
      <w:pPr>
        <w:pStyle w:val="4"/>
        <w:spacing w:before="156" w:beforeLines="50" w:after="156" w:afterLines="50"/>
        <w:jc w:val="left"/>
        <w:rPr>
          <w:highlight w:val="none"/>
        </w:rPr>
      </w:pPr>
      <w:bookmarkStart w:id="75" w:name="_Toc7381236"/>
      <w:bookmarkStart w:id="76" w:name="_Toc53497799"/>
      <w:bookmarkStart w:id="77" w:name="_Toc22305111"/>
      <w:bookmarkStart w:id="78" w:name="_Toc130396201"/>
      <w:bookmarkStart w:id="79" w:name="_Toc131438431"/>
      <w:bookmarkStart w:id="80" w:name="_Toc131438339"/>
      <w:bookmarkStart w:id="81" w:name="_Toc130395580"/>
      <w:bookmarkStart w:id="82" w:name="_Toc132899293"/>
      <w:bookmarkStart w:id="83" w:name="_Toc131438530"/>
      <w:bookmarkStart w:id="84" w:name="_Toc130395895"/>
      <w:r>
        <w:rPr>
          <w:b w:val="0"/>
          <w:highlight w:val="none"/>
        </w:rPr>
        <w:t>4.</w:t>
      </w:r>
      <w:r>
        <w:rPr>
          <w:rFonts w:hint="eastAsia"/>
          <w:b w:val="0"/>
          <w:highlight w:val="none"/>
        </w:rPr>
        <w:t>1</w:t>
      </w:r>
      <w:r>
        <w:rPr>
          <w:b w:val="0"/>
          <w:highlight w:val="none"/>
        </w:rPr>
        <w:t>.1</w:t>
      </w:r>
      <w:bookmarkEnd w:id="75"/>
      <w:bookmarkEnd w:id="76"/>
      <w:bookmarkEnd w:id="77"/>
      <w:r>
        <w:rPr>
          <w:b w:val="0"/>
          <w:highlight w:val="none"/>
        </w:rPr>
        <w:t xml:space="preserve"> </w:t>
      </w:r>
      <w:bookmarkStart w:id="85" w:name="OLE_LINK2"/>
      <w:r>
        <w:rPr>
          <w:rFonts w:hint="eastAsia"/>
          <w:b w:val="0"/>
          <w:highlight w:val="none"/>
        </w:rPr>
        <w:t>输出电压范围</w:t>
      </w:r>
      <w:bookmarkEnd w:id="78"/>
      <w:bookmarkEnd w:id="79"/>
      <w:bookmarkEnd w:id="80"/>
      <w:bookmarkEnd w:id="81"/>
      <w:bookmarkEnd w:id="82"/>
      <w:bookmarkEnd w:id="83"/>
      <w:bookmarkEnd w:id="84"/>
      <w:bookmarkEnd w:id="85"/>
    </w:p>
    <w:p w14:paraId="2F41C913">
      <w:pPr>
        <w:pStyle w:val="20"/>
        <w:spacing w:before="156" w:beforeLines="50" w:after="156" w:afterLines="50"/>
        <w:ind w:firstLine="420" w:firstLineChars="200"/>
        <w:jc w:val="both"/>
        <w:rPr>
          <w:sz w:val="21"/>
          <w:szCs w:val="21"/>
          <w:highlight w:val="none"/>
        </w:rPr>
      </w:pPr>
      <w:bookmarkStart w:id="86" w:name="_Hlk530142379"/>
      <w:r>
        <w:rPr>
          <w:rFonts w:hint="eastAsia"/>
          <w:sz w:val="21"/>
          <w:szCs w:val="21"/>
          <w:highlight w:val="none"/>
        </w:rPr>
        <w:t>制造商应规定设备的输出电压范围，电压输出准确度为±10</w:t>
      </w:r>
      <w:r>
        <w:rPr>
          <w:sz w:val="21"/>
          <w:szCs w:val="21"/>
          <w:highlight w:val="none"/>
        </w:rPr>
        <w:t>%</w:t>
      </w:r>
      <w:r>
        <w:rPr>
          <w:rFonts w:hint="eastAsia"/>
          <w:sz w:val="21"/>
          <w:szCs w:val="21"/>
          <w:highlight w:val="none"/>
        </w:rPr>
        <w:t>。</w:t>
      </w:r>
    </w:p>
    <w:p w14:paraId="5E019A97">
      <w:pPr>
        <w:pStyle w:val="4"/>
        <w:spacing w:before="156" w:beforeLines="50" w:after="156" w:afterLines="50"/>
        <w:jc w:val="left"/>
        <w:rPr>
          <w:rFonts w:hint="eastAsia" w:hAnsi="黑体"/>
          <w:highlight w:val="none"/>
        </w:rPr>
      </w:pPr>
      <w:r>
        <w:rPr>
          <w:rFonts w:hint="eastAsia" w:hAnsi="黑体"/>
          <w:b w:val="0"/>
          <w:highlight w:val="none"/>
        </w:rPr>
        <w:t>4.1.2 连续脉冲频率</w:t>
      </w:r>
    </w:p>
    <w:p w14:paraId="7E948A5D">
      <w:pPr>
        <w:pStyle w:val="20"/>
        <w:spacing w:before="156" w:beforeLines="50" w:after="156" w:afterLines="50"/>
        <w:ind w:firstLine="420" w:firstLineChars="200"/>
        <w:jc w:val="both"/>
        <w:rPr>
          <w:sz w:val="21"/>
          <w:szCs w:val="21"/>
          <w:highlight w:val="none"/>
        </w:rPr>
      </w:pPr>
      <w:r>
        <w:rPr>
          <w:rFonts w:hint="eastAsia"/>
          <w:sz w:val="21"/>
          <w:szCs w:val="21"/>
          <w:highlight w:val="none"/>
        </w:rPr>
        <w:t>制造商应规定设备配用不同类型导管时，连续放电的脉冲频率，输出准确度为±10%。</w:t>
      </w:r>
    </w:p>
    <w:p w14:paraId="238D0720">
      <w:pPr>
        <w:pStyle w:val="4"/>
        <w:spacing w:before="156" w:beforeLines="50" w:after="156" w:afterLines="50"/>
        <w:jc w:val="left"/>
        <w:rPr>
          <w:rFonts w:hint="eastAsia" w:hAnsi="黑体"/>
          <w:highlight w:val="none"/>
        </w:rPr>
      </w:pPr>
      <w:r>
        <w:rPr>
          <w:rFonts w:hint="eastAsia" w:hAnsi="黑体"/>
          <w:b w:val="0"/>
          <w:highlight w:val="none"/>
        </w:rPr>
        <w:t>4.1.3 高压脉冲宽度</w:t>
      </w:r>
    </w:p>
    <w:p w14:paraId="74571B7B">
      <w:pPr>
        <w:pStyle w:val="20"/>
        <w:spacing w:before="156" w:beforeLines="50" w:after="156" w:afterLines="50"/>
        <w:ind w:firstLine="420" w:firstLineChars="200"/>
        <w:jc w:val="both"/>
        <w:rPr>
          <w:sz w:val="21"/>
          <w:szCs w:val="21"/>
          <w:highlight w:val="none"/>
        </w:rPr>
      </w:pPr>
      <w:r>
        <w:rPr>
          <w:rFonts w:hint="eastAsia"/>
          <w:sz w:val="21"/>
          <w:szCs w:val="21"/>
          <w:highlight w:val="none"/>
        </w:rPr>
        <w:t>制造商应规定设备的高压输出脉冲宽度范围。</w:t>
      </w:r>
    </w:p>
    <w:p w14:paraId="6BD6A412">
      <w:pPr>
        <w:pStyle w:val="4"/>
        <w:spacing w:before="156" w:beforeLines="50" w:after="156" w:afterLines="50"/>
        <w:jc w:val="left"/>
        <w:rPr>
          <w:rFonts w:hint="eastAsia" w:hAnsi="黑体"/>
          <w:highlight w:val="none"/>
        </w:rPr>
      </w:pPr>
      <w:bookmarkStart w:id="87" w:name="OLE_LINK3"/>
      <w:r>
        <w:rPr>
          <w:rFonts w:hint="eastAsia" w:hAnsi="黑体"/>
          <w:b w:val="0"/>
          <w:highlight w:val="none"/>
        </w:rPr>
        <w:t>4.1.4.</w:t>
      </w:r>
      <w:r>
        <w:rPr>
          <w:rFonts w:hint="eastAsia" w:hAnsi="黑体"/>
          <w:b w:val="0"/>
          <w:highlight w:val="none"/>
        </w:rPr>
        <w:tab/>
      </w:r>
      <w:r>
        <w:rPr>
          <w:rFonts w:hint="eastAsia" w:hAnsi="黑体"/>
          <w:b w:val="0"/>
          <w:highlight w:val="none"/>
        </w:rPr>
        <w:t>最小暂停时间</w:t>
      </w:r>
    </w:p>
    <w:p w14:paraId="5762A50D">
      <w:pPr>
        <w:pStyle w:val="20"/>
        <w:spacing w:before="156" w:beforeLines="50" w:after="156" w:afterLines="50"/>
        <w:ind w:firstLine="420" w:firstLineChars="200"/>
        <w:jc w:val="both"/>
        <w:rPr>
          <w:sz w:val="21"/>
          <w:szCs w:val="21"/>
          <w:highlight w:val="none"/>
        </w:rPr>
      </w:pPr>
      <w:r>
        <w:rPr>
          <w:rFonts w:hint="eastAsia"/>
          <w:sz w:val="21"/>
          <w:szCs w:val="21"/>
          <w:highlight w:val="none"/>
        </w:rPr>
        <w:t>如适用，将导管与设备连接，在连续输出冲击波脉冲情况下，达到单个周期连续脉冲数后，设备应自动暂停输出。</w:t>
      </w:r>
    </w:p>
    <w:p w14:paraId="3F040577">
      <w:pPr>
        <w:pStyle w:val="20"/>
        <w:spacing w:before="156" w:beforeLines="50" w:after="156" w:afterLines="50"/>
        <w:ind w:firstLine="420" w:firstLineChars="200"/>
        <w:jc w:val="both"/>
        <w:rPr>
          <w:sz w:val="21"/>
          <w:szCs w:val="21"/>
          <w:highlight w:val="none"/>
        </w:rPr>
      </w:pPr>
      <w:r>
        <w:rPr>
          <w:rFonts w:hint="eastAsia"/>
          <w:sz w:val="21"/>
          <w:szCs w:val="21"/>
          <w:highlight w:val="none"/>
        </w:rPr>
        <w:t>制造商应规定达到单个周期连续脉冲数后到重新可以输出冲击波脉冲的最小暂停时间。</w:t>
      </w:r>
    </w:p>
    <w:bookmarkEnd w:id="74"/>
    <w:bookmarkEnd w:id="87"/>
    <w:p w14:paraId="75C912D4">
      <w:pPr>
        <w:tabs>
          <w:tab w:val="center" w:pos="4153"/>
          <w:tab w:val="right" w:pos="8306"/>
        </w:tabs>
        <w:snapToGrid w:val="0"/>
        <w:spacing w:before="156" w:beforeLines="50" w:after="156" w:afterLines="50"/>
        <w:ind w:left="720" w:hanging="720"/>
        <w:outlineLvl w:val="1"/>
        <w:rPr>
          <w:rFonts w:hint="eastAsia" w:ascii="黑体" w:hAnsi="黑体" w:eastAsia="黑体"/>
          <w:bCs/>
          <w:szCs w:val="21"/>
          <w:highlight w:val="none"/>
        </w:rPr>
      </w:pPr>
      <w:bookmarkStart w:id="88" w:name="_Hlk196742579"/>
      <w:r>
        <w:rPr>
          <w:rFonts w:ascii="黑体" w:hAnsi="黑体" w:eastAsia="黑体"/>
          <w:bCs/>
          <w:szCs w:val="21"/>
          <w:highlight w:val="none"/>
        </w:rPr>
        <w:t>4.</w:t>
      </w:r>
      <w:r>
        <w:rPr>
          <w:rFonts w:hint="eastAsia" w:ascii="黑体" w:hAnsi="黑体" w:eastAsia="黑体"/>
          <w:bCs/>
          <w:szCs w:val="21"/>
          <w:highlight w:val="none"/>
        </w:rPr>
        <w:t>2</w:t>
      </w:r>
      <w:r>
        <w:rPr>
          <w:rFonts w:ascii="黑体" w:hAnsi="黑体" w:eastAsia="黑体"/>
          <w:bCs/>
          <w:szCs w:val="21"/>
          <w:highlight w:val="none"/>
        </w:rPr>
        <w:t xml:space="preserve"> </w:t>
      </w:r>
      <w:r>
        <w:rPr>
          <w:rFonts w:hint="eastAsia" w:ascii="黑体" w:hAnsi="黑体" w:eastAsia="黑体"/>
          <w:bCs/>
          <w:szCs w:val="21"/>
          <w:highlight w:val="none"/>
        </w:rPr>
        <w:t>设备与导管配合要求</w:t>
      </w:r>
    </w:p>
    <w:bookmarkEnd w:id="88"/>
    <w:p w14:paraId="3DE43B83">
      <w:pPr>
        <w:outlineLvl w:val="2"/>
        <w:rPr>
          <w:rFonts w:ascii="黑体" w:hAnsi="黑体" w:eastAsia="黑体"/>
          <w:bCs/>
          <w:sz w:val="21"/>
          <w:szCs w:val="21"/>
          <w:highlight w:val="none"/>
        </w:rPr>
      </w:pPr>
      <w:bookmarkStart w:id="89" w:name="_Hlk130374909"/>
      <w:r>
        <w:rPr>
          <w:rFonts w:ascii="黑体" w:hAnsi="黑体" w:eastAsia="黑体"/>
          <w:bCs/>
          <w:szCs w:val="21"/>
          <w:highlight w:val="none"/>
        </w:rPr>
        <w:t>4.</w:t>
      </w:r>
      <w:r>
        <w:rPr>
          <w:rFonts w:hint="eastAsia" w:ascii="黑体" w:hAnsi="黑体" w:eastAsia="黑体"/>
          <w:bCs/>
          <w:szCs w:val="21"/>
          <w:highlight w:val="none"/>
        </w:rPr>
        <w:t>2</w:t>
      </w:r>
      <w:r>
        <w:rPr>
          <w:rFonts w:ascii="黑体" w:hAnsi="黑体" w:eastAsia="黑体"/>
          <w:bCs/>
          <w:szCs w:val="21"/>
          <w:highlight w:val="none"/>
        </w:rPr>
        <w:t>.1</w:t>
      </w:r>
      <w:bookmarkEnd w:id="89"/>
      <w:r>
        <w:rPr>
          <w:rFonts w:ascii="黑体" w:hAnsi="黑体" w:eastAsia="黑体"/>
          <w:bCs/>
          <w:szCs w:val="21"/>
          <w:highlight w:val="none"/>
        </w:rPr>
        <w:t xml:space="preserve"> </w:t>
      </w:r>
      <w:r>
        <w:rPr>
          <w:rFonts w:hint="eastAsia"/>
          <w:szCs w:val="21"/>
          <w:highlight w:val="none"/>
        </w:rPr>
        <w:t>设备应能自动识别配合使用的导管型号和或导管类型。</w:t>
      </w:r>
    </w:p>
    <w:p w14:paraId="65044E99">
      <w:pPr>
        <w:outlineLvl w:val="2"/>
        <w:rPr>
          <w:szCs w:val="21"/>
          <w:highlight w:val="none"/>
        </w:rPr>
      </w:pPr>
      <w:r>
        <w:rPr>
          <w:rFonts w:ascii="黑体" w:hAnsi="黑体" w:eastAsia="黑体"/>
          <w:bCs/>
          <w:sz w:val="21"/>
          <w:szCs w:val="21"/>
          <w:highlight w:val="none"/>
        </w:rPr>
        <w:t>4.</w:t>
      </w:r>
      <w:r>
        <w:rPr>
          <w:rFonts w:hint="eastAsia" w:ascii="黑体" w:hAnsi="黑体" w:eastAsia="黑体"/>
          <w:bCs/>
          <w:szCs w:val="21"/>
          <w:highlight w:val="none"/>
        </w:rPr>
        <w:t>2</w:t>
      </w:r>
      <w:r>
        <w:rPr>
          <w:rFonts w:ascii="黑体" w:hAnsi="黑体" w:eastAsia="黑体"/>
          <w:bCs/>
          <w:sz w:val="21"/>
          <w:szCs w:val="21"/>
          <w:highlight w:val="none"/>
        </w:rPr>
        <w:t xml:space="preserve">.2 </w:t>
      </w:r>
      <w:r>
        <w:rPr>
          <w:rFonts w:hint="eastAsia"/>
          <w:szCs w:val="21"/>
          <w:highlight w:val="none"/>
        </w:rPr>
        <w:t>设备应能显示导管的剩余使用次数。</w:t>
      </w:r>
    </w:p>
    <w:p w14:paraId="1A993264">
      <w:pPr>
        <w:outlineLvl w:val="2"/>
        <w:rPr>
          <w:szCs w:val="21"/>
          <w:highlight w:val="none"/>
        </w:rPr>
      </w:pPr>
      <w:bookmarkStart w:id="90" w:name="_Hlk196742651"/>
      <w:r>
        <w:rPr>
          <w:rFonts w:ascii="黑体" w:hAnsi="黑体" w:eastAsia="黑体"/>
          <w:bCs/>
          <w:szCs w:val="21"/>
          <w:highlight w:val="none"/>
        </w:rPr>
        <w:t>4</w:t>
      </w:r>
      <w:r>
        <w:rPr>
          <w:rFonts w:hint="eastAsia" w:ascii="黑体" w:hAnsi="黑体" w:eastAsia="黑体"/>
          <w:bCs/>
          <w:szCs w:val="21"/>
          <w:highlight w:val="none"/>
        </w:rPr>
        <w:t>.2.</w:t>
      </w:r>
      <w:r>
        <w:rPr>
          <w:rFonts w:ascii="黑体" w:hAnsi="黑体" w:eastAsia="黑体"/>
          <w:bCs/>
          <w:szCs w:val="21"/>
          <w:highlight w:val="none"/>
        </w:rPr>
        <w:t>3</w:t>
      </w:r>
      <w:r>
        <w:rPr>
          <w:rFonts w:hint="eastAsia" w:ascii="黑体" w:hAnsi="黑体" w:eastAsia="黑体"/>
          <w:bCs/>
          <w:szCs w:val="21"/>
          <w:highlight w:val="none"/>
        </w:rPr>
        <w:tab/>
      </w:r>
      <w:r>
        <w:rPr>
          <w:rFonts w:hint="eastAsia" w:ascii="黑体" w:hAnsi="黑体" w:eastAsia="黑体"/>
          <w:bCs/>
          <w:szCs w:val="21"/>
          <w:highlight w:val="none"/>
        </w:rPr>
        <w:t xml:space="preserve"> </w:t>
      </w:r>
      <w:bookmarkEnd w:id="90"/>
      <w:r>
        <w:rPr>
          <w:rFonts w:hint="eastAsia"/>
          <w:szCs w:val="21"/>
          <w:highlight w:val="none"/>
        </w:rPr>
        <w:t>制造商应规定设备配合不同导管时，单个周期连续脉冲数。设备配合配套导管时，应可以连续输出制造商规定的单个周期连续脉冲数，输出期间应正常释放冲击波。</w:t>
      </w:r>
    </w:p>
    <w:p w14:paraId="163B8C47">
      <w:pPr>
        <w:pStyle w:val="55"/>
        <w:numPr>
          <w:ilvl w:val="0"/>
          <w:numId w:val="0"/>
        </w:numPr>
        <w:spacing w:before="156" w:beforeLines="50" w:after="156" w:afterLines="50"/>
        <w:ind w:left="720" w:hanging="720"/>
        <w:outlineLvl w:val="1"/>
        <w:rPr>
          <w:rFonts w:hint="eastAsia" w:ascii="黑体" w:hAnsi="黑体"/>
          <w:highlight w:val="none"/>
        </w:rPr>
      </w:pPr>
      <w:bookmarkStart w:id="91" w:name="_Hlk130374831"/>
      <w:bookmarkStart w:id="92" w:name="_Hlk196742729"/>
      <w:r>
        <w:rPr>
          <w:rFonts w:ascii="黑体" w:hAnsi="黑体"/>
          <w:highlight w:val="none"/>
        </w:rPr>
        <w:t>4.</w:t>
      </w:r>
      <w:bookmarkEnd w:id="91"/>
      <w:r>
        <w:rPr>
          <w:rFonts w:hint="eastAsia" w:ascii="黑体" w:hAnsi="黑体"/>
          <w:highlight w:val="none"/>
        </w:rPr>
        <w:t>3</w:t>
      </w:r>
      <w:r>
        <w:rPr>
          <w:rFonts w:ascii="黑体" w:hAnsi="黑体"/>
          <w:highlight w:val="none"/>
        </w:rPr>
        <w:t xml:space="preserve"> </w:t>
      </w:r>
      <w:r>
        <w:rPr>
          <w:rFonts w:hint="eastAsia" w:ascii="黑体" w:hAnsi="黑体"/>
          <w:highlight w:val="none"/>
        </w:rPr>
        <w:t>设备功能</w:t>
      </w:r>
    </w:p>
    <w:bookmarkEnd w:id="92"/>
    <w:p w14:paraId="1A1F61E1">
      <w:pPr>
        <w:pStyle w:val="20"/>
        <w:ind w:left="840" w:leftChars="200" w:hanging="420" w:hangingChars="200"/>
        <w:jc w:val="both"/>
        <w:rPr>
          <w:sz w:val="21"/>
          <w:szCs w:val="21"/>
          <w:highlight w:val="none"/>
        </w:rPr>
      </w:pPr>
      <w:r>
        <w:rPr>
          <w:rFonts w:hint="eastAsia"/>
          <w:sz w:val="21"/>
          <w:szCs w:val="21"/>
          <w:highlight w:val="none"/>
        </w:rPr>
        <w:t>设备具有以下功能：</w:t>
      </w:r>
    </w:p>
    <w:p w14:paraId="40FAA8E3">
      <w:pPr>
        <w:pStyle w:val="20"/>
        <w:ind w:left="840" w:leftChars="200" w:hanging="420" w:hangingChars="200"/>
        <w:jc w:val="both"/>
        <w:rPr>
          <w:sz w:val="21"/>
          <w:szCs w:val="21"/>
          <w:highlight w:val="none"/>
        </w:rPr>
      </w:pPr>
      <w:r>
        <w:rPr>
          <w:rFonts w:hint="eastAsia"/>
          <w:sz w:val="21"/>
          <w:szCs w:val="21"/>
          <w:highlight w:val="none"/>
        </w:rPr>
        <w:t>1）设备能量输出时，应有声或光提示，提示方式应区别于故障提示；</w:t>
      </w:r>
    </w:p>
    <w:p w14:paraId="6B2DF67C">
      <w:pPr>
        <w:pStyle w:val="20"/>
        <w:ind w:left="840" w:leftChars="200" w:hanging="420" w:hangingChars="200"/>
        <w:jc w:val="both"/>
        <w:rPr>
          <w:sz w:val="21"/>
          <w:szCs w:val="21"/>
          <w:highlight w:val="none"/>
        </w:rPr>
      </w:pPr>
      <w:r>
        <w:rPr>
          <w:rFonts w:hint="eastAsia"/>
          <w:sz w:val="21"/>
          <w:szCs w:val="21"/>
          <w:highlight w:val="none"/>
        </w:rPr>
        <w:t>2）设备应有故障提示功能，设备输出参数异常时应能停止输出并提示故障；</w:t>
      </w:r>
    </w:p>
    <w:p w14:paraId="5D55F412">
      <w:pPr>
        <w:pStyle w:val="20"/>
        <w:ind w:left="840" w:leftChars="200" w:hanging="420" w:hangingChars="200"/>
        <w:jc w:val="both"/>
        <w:rPr>
          <w:sz w:val="21"/>
          <w:szCs w:val="21"/>
          <w:highlight w:val="none"/>
        </w:rPr>
      </w:pPr>
      <w:r>
        <w:rPr>
          <w:rFonts w:hint="eastAsia"/>
          <w:sz w:val="21"/>
          <w:szCs w:val="21"/>
          <w:highlight w:val="none"/>
        </w:rPr>
        <w:t>3）设备应有导管状态提示功能，识别到导管连接异常、导管寿命完结时应能停止输出并提示导管状态；</w:t>
      </w:r>
    </w:p>
    <w:p w14:paraId="70F81A5D">
      <w:pPr>
        <w:pStyle w:val="20"/>
        <w:ind w:left="840" w:leftChars="200" w:hanging="420" w:hangingChars="200"/>
        <w:jc w:val="both"/>
        <w:rPr>
          <w:rFonts w:hint="eastAsia" w:ascii="黑体" w:hAnsi="黑体"/>
          <w:highlight w:val="none"/>
        </w:rPr>
      </w:pPr>
      <w:r>
        <w:rPr>
          <w:rFonts w:hint="eastAsia"/>
          <w:sz w:val="21"/>
          <w:szCs w:val="21"/>
          <w:highlight w:val="none"/>
        </w:rPr>
        <w:t>4）设备在输出状态下应能由手动停止输出。</w:t>
      </w:r>
      <w:bookmarkStart w:id="93" w:name="_Hlk194867387"/>
    </w:p>
    <w:p w14:paraId="11F1F694">
      <w:pPr>
        <w:pStyle w:val="55"/>
        <w:numPr>
          <w:ilvl w:val="0"/>
          <w:numId w:val="0"/>
        </w:numPr>
        <w:spacing w:before="156" w:beforeLines="50" w:after="156" w:afterLines="50"/>
        <w:ind w:left="720" w:hanging="720"/>
        <w:outlineLvl w:val="1"/>
        <w:rPr>
          <w:rFonts w:hint="eastAsia" w:ascii="黑体" w:hAnsi="黑体"/>
          <w:bCs w:val="0"/>
          <w:highlight w:val="none"/>
        </w:rPr>
      </w:pPr>
      <w:r>
        <w:rPr>
          <w:rFonts w:hint="eastAsia" w:ascii="黑体" w:hAnsi="黑体"/>
          <w:highlight w:val="none"/>
        </w:rPr>
        <w:t>4.4 导管性能</w:t>
      </w:r>
    </w:p>
    <w:p w14:paraId="7152804E">
      <w:pPr>
        <w:pStyle w:val="55"/>
        <w:numPr>
          <w:ilvl w:val="0"/>
          <w:numId w:val="0"/>
        </w:numPr>
        <w:spacing w:before="156" w:beforeLines="50" w:after="156" w:afterLines="50"/>
        <w:outlineLvl w:val="1"/>
        <w:rPr>
          <w:rFonts w:hint="eastAsia" w:ascii="黑体" w:hAnsi="黑体"/>
          <w:highlight w:val="none"/>
        </w:rPr>
      </w:pPr>
      <w:r>
        <w:rPr>
          <w:rFonts w:ascii="黑体" w:hAnsi="黑体"/>
          <w:highlight w:val="none"/>
        </w:rPr>
        <w:t>4.</w:t>
      </w:r>
      <w:r>
        <w:rPr>
          <w:rFonts w:hint="eastAsia" w:ascii="黑体" w:hAnsi="黑体"/>
          <w:highlight w:val="none"/>
        </w:rPr>
        <w:t>4.1 外表面</w:t>
      </w:r>
    </w:p>
    <w:p w14:paraId="051123F4">
      <w:pPr>
        <w:pStyle w:val="20"/>
        <w:ind w:firstLine="420" w:firstLineChars="200"/>
        <w:jc w:val="both"/>
        <w:rPr>
          <w:sz w:val="21"/>
          <w:szCs w:val="21"/>
          <w:highlight w:val="none"/>
        </w:rPr>
      </w:pPr>
      <w:r>
        <w:rPr>
          <w:rFonts w:hint="eastAsia"/>
          <w:sz w:val="21"/>
          <w:szCs w:val="21"/>
          <w:highlight w:val="none"/>
        </w:rPr>
        <w:t>在至少放大2.5倍的条件下，用正常视力或矫正至正常视力检查时，导管有效长度的外表面应清洁</w:t>
      </w:r>
    </w:p>
    <w:p w14:paraId="7D9D059A">
      <w:pPr>
        <w:pStyle w:val="20"/>
        <w:ind w:firstLine="420" w:firstLineChars="200"/>
        <w:jc w:val="both"/>
        <w:rPr>
          <w:sz w:val="21"/>
          <w:szCs w:val="21"/>
          <w:highlight w:val="none"/>
        </w:rPr>
      </w:pPr>
      <w:r>
        <w:rPr>
          <w:rFonts w:hint="eastAsia"/>
          <w:sz w:val="21"/>
          <w:szCs w:val="21"/>
          <w:highlight w:val="none"/>
        </w:rPr>
        <w:t>无杂质。导管有效长度的外表面，包括末端，不应有在使用过程中可能对血管造成创伤的加工缺陷和表面缺陷。如果导管涂有润滑剂，当用正常视力或矫正至正常的视力检查时，导管外表面不应看到汇聚的润滑剂液滴。</w:t>
      </w:r>
    </w:p>
    <w:p w14:paraId="0BECED78">
      <w:pPr>
        <w:pStyle w:val="55"/>
        <w:numPr>
          <w:ilvl w:val="0"/>
          <w:numId w:val="0"/>
        </w:numPr>
        <w:spacing w:before="156" w:beforeLines="50" w:after="156" w:afterLines="50"/>
        <w:ind w:left="720" w:hanging="720"/>
        <w:outlineLvl w:val="1"/>
        <w:rPr>
          <w:rFonts w:hint="eastAsia" w:ascii="黑体" w:hAnsi="黑体"/>
          <w:highlight w:val="none"/>
        </w:rPr>
      </w:pPr>
      <w:r>
        <w:rPr>
          <w:rFonts w:ascii="黑体" w:hAnsi="黑体"/>
          <w:highlight w:val="none"/>
        </w:rPr>
        <w:t>4.</w:t>
      </w:r>
      <w:r>
        <w:rPr>
          <w:rFonts w:hint="eastAsia" w:ascii="黑体" w:hAnsi="黑体"/>
          <w:highlight w:val="none"/>
        </w:rPr>
        <w:t>4.2 耐腐蚀性</w:t>
      </w:r>
    </w:p>
    <w:p w14:paraId="1B5EC646">
      <w:pPr>
        <w:pStyle w:val="20"/>
        <w:ind w:firstLine="420" w:firstLineChars="200"/>
        <w:jc w:val="both"/>
        <w:rPr>
          <w:sz w:val="21"/>
          <w:szCs w:val="21"/>
          <w:highlight w:val="none"/>
        </w:rPr>
      </w:pPr>
      <w:r>
        <w:rPr>
          <w:rFonts w:hint="eastAsia"/>
          <w:sz w:val="21"/>
          <w:szCs w:val="21"/>
          <w:highlight w:val="none"/>
        </w:rPr>
        <w:t>当按照规定方法试验时，预期与液路接触的导管金属部件不应有腐蚀痕迹。</w:t>
      </w:r>
    </w:p>
    <w:p w14:paraId="2B6A868A">
      <w:pPr>
        <w:pStyle w:val="55"/>
        <w:numPr>
          <w:ilvl w:val="0"/>
          <w:numId w:val="0"/>
        </w:numPr>
        <w:spacing w:before="156" w:beforeLines="50" w:after="156" w:afterLines="50"/>
        <w:outlineLvl w:val="1"/>
        <w:rPr>
          <w:rFonts w:hint="eastAsia" w:ascii="黑体" w:hAnsi="黑体"/>
          <w:highlight w:val="none"/>
        </w:rPr>
      </w:pPr>
      <w:r>
        <w:rPr>
          <w:rFonts w:ascii="黑体" w:hAnsi="黑体"/>
          <w:highlight w:val="none"/>
        </w:rPr>
        <w:t>4.</w:t>
      </w:r>
      <w:r>
        <w:rPr>
          <w:rFonts w:hint="eastAsia" w:ascii="黑体" w:hAnsi="黑体"/>
          <w:highlight w:val="none"/>
        </w:rPr>
        <w:t>4.3</w:t>
      </w:r>
      <w:r>
        <w:rPr>
          <w:rFonts w:ascii="黑体" w:hAnsi="黑体"/>
          <w:highlight w:val="none"/>
        </w:rPr>
        <w:t xml:space="preserve"> </w:t>
      </w:r>
      <w:r>
        <w:rPr>
          <w:rFonts w:hint="eastAsia" w:ascii="黑体" w:hAnsi="黑体"/>
          <w:highlight w:val="none"/>
        </w:rPr>
        <w:t>峰值拉力</w:t>
      </w:r>
    </w:p>
    <w:p w14:paraId="30B814DB">
      <w:pPr>
        <w:pStyle w:val="20"/>
        <w:ind w:firstLine="420" w:firstLineChars="200"/>
        <w:jc w:val="both"/>
        <w:rPr>
          <w:sz w:val="21"/>
          <w:szCs w:val="21"/>
          <w:highlight w:val="none"/>
        </w:rPr>
      </w:pPr>
      <w:r>
        <w:rPr>
          <w:sz w:val="21"/>
          <w:szCs w:val="21"/>
          <w:highlight w:val="none"/>
        </w:rPr>
        <w:t>当按照</w:t>
      </w:r>
      <w:r>
        <w:rPr>
          <w:rFonts w:hint="eastAsia"/>
          <w:sz w:val="21"/>
          <w:szCs w:val="21"/>
          <w:highlight w:val="none"/>
        </w:rPr>
        <w:t>规定</w:t>
      </w:r>
      <w:r>
        <w:rPr>
          <w:sz w:val="21"/>
          <w:szCs w:val="21"/>
          <w:highlight w:val="none"/>
        </w:rPr>
        <w:t>方法试验时，每一试验段的峰值拉力应符合</w:t>
      </w:r>
      <w:r>
        <w:rPr>
          <w:rFonts w:hint="eastAsia"/>
          <w:sz w:val="21"/>
          <w:szCs w:val="21"/>
          <w:highlight w:val="none"/>
        </w:rPr>
        <w:t>YY0285.1-2017中表1</w:t>
      </w:r>
      <w:r>
        <w:rPr>
          <w:sz w:val="21"/>
          <w:szCs w:val="21"/>
          <w:highlight w:val="none"/>
        </w:rPr>
        <w:t>的规定。</w:t>
      </w:r>
    </w:p>
    <w:p w14:paraId="2104DC4B">
      <w:pPr>
        <w:pStyle w:val="55"/>
        <w:numPr>
          <w:ilvl w:val="0"/>
          <w:numId w:val="0"/>
        </w:numPr>
        <w:spacing w:before="156" w:beforeLines="50" w:after="156" w:afterLines="50"/>
        <w:ind w:left="720" w:hanging="720"/>
        <w:outlineLvl w:val="1"/>
        <w:rPr>
          <w:highlight w:val="none"/>
        </w:rPr>
      </w:pPr>
      <w:r>
        <w:rPr>
          <w:rFonts w:ascii="黑体" w:hAnsi="黑体"/>
          <w:highlight w:val="none"/>
        </w:rPr>
        <w:t>4.</w:t>
      </w:r>
      <w:r>
        <w:rPr>
          <w:rFonts w:hint="eastAsia" w:ascii="黑体" w:hAnsi="黑体"/>
          <w:highlight w:val="none"/>
        </w:rPr>
        <w:t>4.4 无泄漏</w:t>
      </w:r>
    </w:p>
    <w:p w14:paraId="2A6957D8">
      <w:pPr>
        <w:outlineLvl w:val="2"/>
        <w:rPr>
          <w:rFonts w:ascii="宋体" w:hAnsi="宋体"/>
          <w:bCs/>
          <w:sz w:val="21"/>
          <w:szCs w:val="21"/>
          <w:highlight w:val="none"/>
        </w:rPr>
      </w:pPr>
      <w:r>
        <w:rPr>
          <w:rFonts w:ascii="黑体" w:hAnsi="黑体" w:eastAsia="黑体"/>
          <w:bCs/>
          <w:szCs w:val="21"/>
          <w:highlight w:val="none"/>
        </w:rPr>
        <w:t>4.</w:t>
      </w:r>
      <w:r>
        <w:rPr>
          <w:rFonts w:hint="eastAsia" w:ascii="黑体" w:hAnsi="黑体" w:eastAsia="黑体"/>
          <w:bCs/>
          <w:szCs w:val="21"/>
          <w:highlight w:val="none"/>
        </w:rPr>
        <w:t>4</w:t>
      </w:r>
      <w:r>
        <w:rPr>
          <w:rFonts w:ascii="黑体" w:hAnsi="黑体" w:eastAsia="黑体"/>
          <w:bCs/>
          <w:szCs w:val="21"/>
          <w:highlight w:val="none"/>
        </w:rPr>
        <w:t>.</w:t>
      </w:r>
      <w:r>
        <w:rPr>
          <w:rFonts w:hint="eastAsia" w:ascii="黑体" w:hAnsi="黑体" w:eastAsia="黑体"/>
          <w:bCs/>
          <w:szCs w:val="21"/>
          <w:highlight w:val="none"/>
        </w:rPr>
        <w:t>4</w:t>
      </w:r>
      <w:r>
        <w:rPr>
          <w:rFonts w:ascii="黑体" w:hAnsi="黑体" w:eastAsia="黑体"/>
          <w:bCs/>
          <w:szCs w:val="21"/>
          <w:highlight w:val="none"/>
        </w:rPr>
        <w:t xml:space="preserve">.1 </w:t>
      </w:r>
      <w:r>
        <w:rPr>
          <w:rFonts w:hint="eastAsia" w:ascii="宋体" w:hAnsi="宋体"/>
          <w:bCs/>
          <w:szCs w:val="21"/>
          <w:highlight w:val="none"/>
        </w:rPr>
        <w:t>当按照规定方法试验时，导管座或连接装配处或导管的其他部分不应有液体泄漏。对于水合血管内导管，水合前和水合后都应满足这一要求。</w:t>
      </w:r>
    </w:p>
    <w:p w14:paraId="273743E1">
      <w:pPr>
        <w:outlineLvl w:val="2"/>
        <w:rPr>
          <w:rFonts w:ascii="宋体" w:hAnsi="宋体"/>
          <w:bCs/>
          <w:sz w:val="21"/>
          <w:szCs w:val="21"/>
          <w:highlight w:val="none"/>
        </w:rPr>
      </w:pPr>
      <w:r>
        <w:rPr>
          <w:rFonts w:ascii="黑体" w:hAnsi="黑体" w:eastAsia="黑体"/>
          <w:bCs/>
          <w:szCs w:val="21"/>
          <w:highlight w:val="none"/>
        </w:rPr>
        <w:t>4.</w:t>
      </w:r>
      <w:r>
        <w:rPr>
          <w:rFonts w:hint="eastAsia" w:ascii="黑体" w:hAnsi="黑体" w:eastAsia="黑体"/>
          <w:bCs/>
          <w:szCs w:val="21"/>
          <w:highlight w:val="none"/>
        </w:rPr>
        <w:t>4</w:t>
      </w:r>
      <w:r>
        <w:rPr>
          <w:rFonts w:ascii="黑体" w:hAnsi="黑体" w:eastAsia="黑体"/>
          <w:bCs/>
          <w:szCs w:val="21"/>
          <w:highlight w:val="none"/>
        </w:rPr>
        <w:t>.</w:t>
      </w:r>
      <w:r>
        <w:rPr>
          <w:rFonts w:hint="eastAsia" w:ascii="黑体" w:hAnsi="黑体" w:eastAsia="黑体"/>
          <w:bCs/>
          <w:szCs w:val="21"/>
          <w:highlight w:val="none"/>
        </w:rPr>
        <w:t>4</w:t>
      </w:r>
      <w:r>
        <w:rPr>
          <w:rFonts w:ascii="黑体" w:hAnsi="黑体" w:eastAsia="黑体"/>
          <w:bCs/>
          <w:szCs w:val="21"/>
          <w:highlight w:val="none"/>
        </w:rPr>
        <w:t xml:space="preserve">.2 </w:t>
      </w:r>
      <w:r>
        <w:rPr>
          <w:rFonts w:hint="eastAsia" w:ascii="宋体" w:hAnsi="宋体"/>
          <w:bCs/>
          <w:szCs w:val="21"/>
          <w:highlight w:val="none"/>
        </w:rPr>
        <w:t>当按照规定方法试验时，在持续抽吸的过程中，空气不应进入导管座装配处。对于水合血管内导管，水合前和水合后都应满足这一要求。</w:t>
      </w:r>
    </w:p>
    <w:p w14:paraId="0E33D94C">
      <w:pPr>
        <w:pStyle w:val="55"/>
        <w:numPr>
          <w:ilvl w:val="0"/>
          <w:numId w:val="0"/>
        </w:numPr>
        <w:spacing w:before="156" w:beforeLines="50" w:after="156" w:afterLines="50"/>
        <w:ind w:left="720" w:hanging="720"/>
        <w:outlineLvl w:val="1"/>
        <w:rPr>
          <w:rFonts w:hint="eastAsia" w:ascii="黑体" w:hAnsi="黑体"/>
          <w:highlight w:val="none"/>
        </w:rPr>
      </w:pPr>
      <w:r>
        <w:rPr>
          <w:rFonts w:ascii="黑体" w:hAnsi="黑体"/>
          <w:highlight w:val="none"/>
        </w:rPr>
        <w:t>4.</w:t>
      </w:r>
      <w:r>
        <w:rPr>
          <w:rFonts w:hint="eastAsia" w:ascii="黑体" w:hAnsi="黑体"/>
          <w:highlight w:val="none"/>
        </w:rPr>
        <w:t>4.5</w:t>
      </w:r>
      <w:r>
        <w:rPr>
          <w:rFonts w:ascii="黑体" w:hAnsi="黑体"/>
          <w:highlight w:val="none"/>
        </w:rPr>
        <w:t xml:space="preserve"> </w:t>
      </w:r>
      <w:r>
        <w:rPr>
          <w:rFonts w:hint="eastAsia" w:ascii="黑体" w:hAnsi="黑体"/>
          <w:highlight w:val="none"/>
        </w:rPr>
        <w:t>座</w:t>
      </w:r>
    </w:p>
    <w:p w14:paraId="7623E1D1">
      <w:pPr>
        <w:pStyle w:val="20"/>
        <w:ind w:firstLine="420" w:firstLineChars="200"/>
        <w:jc w:val="both"/>
        <w:rPr>
          <w:sz w:val="21"/>
          <w:szCs w:val="21"/>
          <w:highlight w:val="none"/>
        </w:rPr>
      </w:pPr>
      <w:r>
        <w:rPr>
          <w:sz w:val="21"/>
          <w:szCs w:val="21"/>
          <w:highlight w:val="none"/>
        </w:rPr>
        <w:t>如果导管有一个一体的或分离的座，应是内圆锥座，且应符合GB/T1962.1</w:t>
      </w:r>
      <w:r>
        <w:rPr>
          <w:rFonts w:hint="eastAsia"/>
          <w:sz w:val="21"/>
          <w:szCs w:val="21"/>
          <w:highlight w:val="none"/>
        </w:rPr>
        <w:t>-2015</w:t>
      </w:r>
      <w:r>
        <w:rPr>
          <w:sz w:val="21"/>
          <w:szCs w:val="21"/>
          <w:highlight w:val="none"/>
        </w:rPr>
        <w:t>和GB/T1962.2</w:t>
      </w:r>
      <w:r>
        <w:rPr>
          <w:rFonts w:hint="eastAsia"/>
          <w:sz w:val="21"/>
          <w:szCs w:val="21"/>
          <w:highlight w:val="none"/>
        </w:rPr>
        <w:t>-2001</w:t>
      </w:r>
      <w:r>
        <w:rPr>
          <w:sz w:val="21"/>
          <w:szCs w:val="21"/>
          <w:highlight w:val="none"/>
        </w:rPr>
        <w:t>的要求。</w:t>
      </w:r>
    </w:p>
    <w:p w14:paraId="599B0B61">
      <w:pPr>
        <w:pStyle w:val="55"/>
        <w:numPr>
          <w:ilvl w:val="0"/>
          <w:numId w:val="0"/>
        </w:numPr>
        <w:spacing w:before="156" w:beforeLines="50" w:after="156" w:afterLines="50"/>
        <w:ind w:left="720" w:hanging="720"/>
        <w:outlineLvl w:val="1"/>
        <w:rPr>
          <w:highlight w:val="none"/>
        </w:rPr>
      </w:pPr>
      <w:r>
        <w:rPr>
          <w:rFonts w:ascii="黑体" w:hAnsi="黑体"/>
          <w:highlight w:val="none"/>
        </w:rPr>
        <w:t>4.</w:t>
      </w:r>
      <w:r>
        <w:rPr>
          <w:rFonts w:hint="eastAsia" w:ascii="黑体" w:hAnsi="黑体"/>
          <w:highlight w:val="none"/>
        </w:rPr>
        <w:t>4</w:t>
      </w:r>
      <w:r>
        <w:rPr>
          <w:rFonts w:ascii="黑体" w:hAnsi="黑体"/>
          <w:highlight w:val="none"/>
        </w:rPr>
        <w:t>.</w:t>
      </w:r>
      <w:r>
        <w:rPr>
          <w:rFonts w:hint="eastAsia" w:ascii="黑体" w:hAnsi="黑体"/>
          <w:highlight w:val="none"/>
        </w:rPr>
        <w:t>6</w:t>
      </w:r>
      <w:r>
        <w:rPr>
          <w:rFonts w:ascii="黑体" w:hAnsi="黑体"/>
          <w:highlight w:val="none"/>
        </w:rPr>
        <w:t xml:space="preserve"> </w:t>
      </w:r>
      <w:r>
        <w:rPr>
          <w:rFonts w:hint="eastAsia" w:ascii="黑体" w:hAnsi="黑体"/>
          <w:highlight w:val="none"/>
        </w:rPr>
        <w:t>末端头端</w:t>
      </w:r>
    </w:p>
    <w:p w14:paraId="2C107D34">
      <w:pPr>
        <w:pStyle w:val="20"/>
        <w:ind w:firstLine="420" w:firstLineChars="200"/>
        <w:jc w:val="both"/>
        <w:rPr>
          <w:sz w:val="21"/>
          <w:szCs w:val="21"/>
          <w:highlight w:val="none"/>
        </w:rPr>
      </w:pPr>
      <w:r>
        <w:rPr>
          <w:sz w:val="21"/>
          <w:szCs w:val="21"/>
          <w:highlight w:val="none"/>
        </w:rPr>
        <w:t>为减少使用过程中对血管的损伤，导管的末端头端应圆滑，呈锥形或进行过类似的处理。</w:t>
      </w:r>
    </w:p>
    <w:p w14:paraId="0F9FFC20">
      <w:pPr>
        <w:pStyle w:val="55"/>
        <w:numPr>
          <w:ilvl w:val="0"/>
          <w:numId w:val="0"/>
        </w:numPr>
        <w:spacing w:before="156" w:beforeLines="50" w:after="156" w:afterLines="50"/>
        <w:ind w:left="720" w:hanging="720"/>
        <w:outlineLvl w:val="1"/>
        <w:rPr>
          <w:highlight w:val="none"/>
        </w:rPr>
      </w:pPr>
      <w:r>
        <w:rPr>
          <w:rFonts w:ascii="黑体" w:hAnsi="黑体"/>
          <w:highlight w:val="none"/>
        </w:rPr>
        <w:t>4.</w:t>
      </w:r>
      <w:r>
        <w:rPr>
          <w:rFonts w:hint="eastAsia" w:ascii="黑体" w:hAnsi="黑体"/>
          <w:highlight w:val="none"/>
        </w:rPr>
        <w:t>4</w:t>
      </w:r>
      <w:r>
        <w:rPr>
          <w:rFonts w:ascii="黑体" w:hAnsi="黑体"/>
          <w:highlight w:val="none"/>
        </w:rPr>
        <w:t>.</w:t>
      </w:r>
      <w:r>
        <w:rPr>
          <w:rFonts w:hint="eastAsia" w:ascii="黑体" w:hAnsi="黑体"/>
          <w:highlight w:val="none"/>
        </w:rPr>
        <w:t>7</w:t>
      </w:r>
      <w:r>
        <w:rPr>
          <w:highlight w:val="none"/>
        </w:rPr>
        <w:t xml:space="preserve"> </w:t>
      </w:r>
      <w:r>
        <w:rPr>
          <w:rFonts w:hint="eastAsia"/>
          <w:highlight w:val="none"/>
        </w:rPr>
        <w:t>球囊额定爆破压(RBP)</w:t>
      </w:r>
    </w:p>
    <w:p w14:paraId="07980F00">
      <w:pPr>
        <w:pStyle w:val="20"/>
        <w:ind w:firstLine="420" w:firstLineChars="200"/>
        <w:jc w:val="both"/>
        <w:rPr>
          <w:sz w:val="21"/>
          <w:szCs w:val="21"/>
          <w:highlight w:val="none"/>
        </w:rPr>
      </w:pPr>
      <w:r>
        <w:rPr>
          <w:rFonts w:hint="eastAsia"/>
          <w:sz w:val="21"/>
          <w:szCs w:val="21"/>
          <w:highlight w:val="none"/>
        </w:rPr>
        <w:t>若适用，当</w:t>
      </w:r>
      <w:r>
        <w:rPr>
          <w:sz w:val="21"/>
          <w:szCs w:val="21"/>
          <w:highlight w:val="none"/>
        </w:rPr>
        <w:t>按</w:t>
      </w:r>
      <w:r>
        <w:rPr>
          <w:rFonts w:hint="eastAsia"/>
          <w:sz w:val="21"/>
          <w:szCs w:val="21"/>
          <w:highlight w:val="none"/>
        </w:rPr>
        <w:t>规定</w:t>
      </w:r>
      <w:r>
        <w:rPr>
          <w:sz w:val="21"/>
          <w:szCs w:val="21"/>
          <w:highlight w:val="none"/>
        </w:rPr>
        <w:t>方法测定爆破压时，</w:t>
      </w:r>
      <w:r>
        <w:rPr>
          <w:rFonts w:hint="eastAsia"/>
          <w:sz w:val="21"/>
          <w:szCs w:val="21"/>
          <w:highlight w:val="none"/>
        </w:rPr>
        <w:t>额</w:t>
      </w:r>
      <w:r>
        <w:rPr>
          <w:sz w:val="21"/>
          <w:szCs w:val="21"/>
          <w:highlight w:val="none"/>
        </w:rPr>
        <w:t>定爆破压应有一个适宜的安全裕度。轴向破坏是期望的破坏模式。</w:t>
      </w:r>
    </w:p>
    <w:p w14:paraId="6F842F64">
      <w:pPr>
        <w:pStyle w:val="55"/>
        <w:numPr>
          <w:ilvl w:val="0"/>
          <w:numId w:val="0"/>
        </w:numPr>
        <w:spacing w:before="156" w:beforeLines="50" w:after="156" w:afterLines="50"/>
        <w:ind w:left="720" w:hanging="720"/>
        <w:outlineLvl w:val="1"/>
        <w:rPr>
          <w:rFonts w:hint="eastAsia" w:ascii="黑体" w:hAnsi="黑体"/>
          <w:highlight w:val="none"/>
        </w:rPr>
      </w:pPr>
      <w:r>
        <w:rPr>
          <w:rFonts w:ascii="黑体" w:hAnsi="黑体"/>
          <w:highlight w:val="none"/>
        </w:rPr>
        <w:t>4.</w:t>
      </w:r>
      <w:r>
        <w:rPr>
          <w:rFonts w:hint="eastAsia" w:ascii="黑体" w:hAnsi="黑体"/>
          <w:highlight w:val="none"/>
        </w:rPr>
        <w:t>4</w:t>
      </w:r>
      <w:r>
        <w:rPr>
          <w:rFonts w:ascii="黑体" w:hAnsi="黑体"/>
          <w:highlight w:val="none"/>
        </w:rPr>
        <w:t>.</w:t>
      </w:r>
      <w:r>
        <w:rPr>
          <w:rFonts w:hint="eastAsia" w:ascii="黑体" w:hAnsi="黑体"/>
          <w:highlight w:val="none"/>
        </w:rPr>
        <w:t>8 球囊疲劳;充起时无泄漏和损坏</w:t>
      </w:r>
    </w:p>
    <w:p w14:paraId="3D1AF89A">
      <w:pPr>
        <w:pStyle w:val="20"/>
        <w:ind w:firstLine="420" w:firstLineChars="200"/>
        <w:jc w:val="both"/>
        <w:rPr>
          <w:sz w:val="21"/>
          <w:szCs w:val="21"/>
          <w:highlight w:val="none"/>
        </w:rPr>
      </w:pPr>
      <w:r>
        <w:rPr>
          <w:rFonts w:hint="eastAsia"/>
          <w:sz w:val="21"/>
          <w:szCs w:val="21"/>
          <w:highlight w:val="none"/>
        </w:rPr>
        <w:t>若适用，当</w:t>
      </w:r>
      <w:r>
        <w:rPr>
          <w:sz w:val="21"/>
          <w:szCs w:val="21"/>
          <w:highlight w:val="none"/>
        </w:rPr>
        <w:t>按</w:t>
      </w:r>
      <w:r>
        <w:rPr>
          <w:rFonts w:hint="eastAsia"/>
          <w:sz w:val="21"/>
          <w:szCs w:val="21"/>
          <w:highlight w:val="none"/>
        </w:rPr>
        <w:t>规定</w:t>
      </w:r>
      <w:r>
        <w:rPr>
          <w:sz w:val="21"/>
          <w:szCs w:val="21"/>
          <w:highlight w:val="none"/>
        </w:rPr>
        <w:t>方法试验评价球囊反复承受充盈至其额定爆破压(RBP)的循环的能力时，导管不应有泄漏或损坏(如突出或爆破)现象。</w:t>
      </w:r>
    </w:p>
    <w:p w14:paraId="4EC00DBA">
      <w:pPr>
        <w:pStyle w:val="55"/>
        <w:numPr>
          <w:ilvl w:val="0"/>
          <w:numId w:val="0"/>
        </w:numPr>
        <w:spacing w:before="156" w:beforeLines="50" w:after="156" w:afterLines="50"/>
        <w:ind w:left="720" w:hanging="720"/>
        <w:outlineLvl w:val="1"/>
        <w:rPr>
          <w:highlight w:val="none"/>
        </w:rPr>
      </w:pPr>
      <w:r>
        <w:rPr>
          <w:rFonts w:ascii="黑体" w:hAnsi="黑体"/>
          <w:highlight w:val="none"/>
        </w:rPr>
        <w:t>4.</w:t>
      </w:r>
      <w:r>
        <w:rPr>
          <w:rFonts w:hint="eastAsia" w:ascii="黑体" w:hAnsi="黑体"/>
          <w:highlight w:val="none"/>
        </w:rPr>
        <w:t>4</w:t>
      </w:r>
      <w:r>
        <w:rPr>
          <w:rFonts w:ascii="黑体" w:hAnsi="黑体"/>
          <w:highlight w:val="none"/>
        </w:rPr>
        <w:t>.</w:t>
      </w:r>
      <w:r>
        <w:rPr>
          <w:rFonts w:hint="eastAsia" w:ascii="黑体" w:hAnsi="黑体"/>
          <w:highlight w:val="none"/>
        </w:rPr>
        <w:t>9 球囊卸压时间</w:t>
      </w:r>
    </w:p>
    <w:p w14:paraId="38DB73FC">
      <w:pPr>
        <w:pStyle w:val="20"/>
        <w:ind w:firstLine="420" w:firstLineChars="200"/>
        <w:jc w:val="both"/>
        <w:rPr>
          <w:sz w:val="21"/>
          <w:szCs w:val="21"/>
          <w:highlight w:val="none"/>
        </w:rPr>
      </w:pPr>
      <w:r>
        <w:rPr>
          <w:rFonts w:hint="eastAsia"/>
          <w:sz w:val="21"/>
          <w:szCs w:val="21"/>
          <w:highlight w:val="none"/>
        </w:rPr>
        <w:t>若适用，</w:t>
      </w:r>
      <w:r>
        <w:rPr>
          <w:sz w:val="21"/>
          <w:szCs w:val="21"/>
          <w:highlight w:val="none"/>
        </w:rPr>
        <w:t>按</w:t>
      </w:r>
      <w:r>
        <w:rPr>
          <w:rFonts w:hint="eastAsia"/>
          <w:sz w:val="21"/>
          <w:szCs w:val="21"/>
          <w:highlight w:val="none"/>
        </w:rPr>
        <w:t>规定</w:t>
      </w:r>
      <w:r>
        <w:rPr>
          <w:sz w:val="21"/>
          <w:szCs w:val="21"/>
          <w:highlight w:val="none"/>
        </w:rPr>
        <w:t>方法测定球囊从 RBP 至卸压终点所需的时间。</w:t>
      </w:r>
    </w:p>
    <w:p w14:paraId="55FD5519">
      <w:pPr>
        <w:pStyle w:val="55"/>
        <w:numPr>
          <w:ilvl w:val="0"/>
          <w:numId w:val="0"/>
        </w:numPr>
        <w:spacing w:before="156" w:beforeLines="50" w:after="156" w:afterLines="50"/>
        <w:ind w:left="720" w:hanging="720"/>
        <w:outlineLvl w:val="1"/>
        <w:rPr>
          <w:highlight w:val="none"/>
        </w:rPr>
      </w:pPr>
      <w:r>
        <w:rPr>
          <w:rFonts w:ascii="黑体" w:hAnsi="黑体"/>
          <w:highlight w:val="none"/>
        </w:rPr>
        <w:t>4.</w:t>
      </w:r>
      <w:r>
        <w:rPr>
          <w:rFonts w:hint="eastAsia" w:ascii="黑体" w:hAnsi="黑体"/>
          <w:highlight w:val="none"/>
        </w:rPr>
        <w:t>4</w:t>
      </w:r>
      <w:r>
        <w:rPr>
          <w:rFonts w:ascii="黑体" w:hAnsi="黑体"/>
          <w:highlight w:val="none"/>
        </w:rPr>
        <w:t>.</w:t>
      </w:r>
      <w:r>
        <w:rPr>
          <w:rFonts w:hint="eastAsia" w:ascii="黑体" w:hAnsi="黑体"/>
          <w:highlight w:val="none"/>
        </w:rPr>
        <w:t>10 球囊直径与充盈压力的关系</w:t>
      </w:r>
    </w:p>
    <w:p w14:paraId="72B69604">
      <w:pPr>
        <w:pStyle w:val="20"/>
        <w:ind w:firstLine="420" w:firstLineChars="200"/>
        <w:jc w:val="both"/>
        <w:rPr>
          <w:sz w:val="21"/>
          <w:szCs w:val="21"/>
          <w:highlight w:val="none"/>
        </w:rPr>
      </w:pPr>
      <w:r>
        <w:rPr>
          <w:rFonts w:hint="eastAsia"/>
          <w:sz w:val="21"/>
          <w:szCs w:val="21"/>
          <w:highlight w:val="none"/>
        </w:rPr>
        <w:t>若适用，</w:t>
      </w:r>
      <w:r>
        <w:rPr>
          <w:sz w:val="21"/>
          <w:szCs w:val="21"/>
          <w:highlight w:val="none"/>
        </w:rPr>
        <w:t>按</w:t>
      </w:r>
      <w:r>
        <w:rPr>
          <w:rFonts w:hint="eastAsia"/>
          <w:sz w:val="21"/>
          <w:szCs w:val="21"/>
          <w:highlight w:val="none"/>
        </w:rPr>
        <w:t>规定</w:t>
      </w:r>
      <w:r>
        <w:rPr>
          <w:sz w:val="21"/>
          <w:szCs w:val="21"/>
          <w:highlight w:val="none"/>
        </w:rPr>
        <w:t>方法测定球囊直径和球囊充盈压力的关系</w:t>
      </w:r>
      <w:r>
        <w:rPr>
          <w:rFonts w:hint="eastAsia"/>
          <w:sz w:val="21"/>
          <w:szCs w:val="21"/>
          <w:highlight w:val="none"/>
        </w:rPr>
        <w:t>。</w:t>
      </w:r>
    </w:p>
    <w:p w14:paraId="0CAE579B">
      <w:pPr>
        <w:tabs>
          <w:tab w:val="center" w:pos="4153"/>
          <w:tab w:val="right" w:pos="8306"/>
        </w:tabs>
        <w:snapToGrid w:val="0"/>
        <w:spacing w:before="156" w:beforeLines="50" w:after="156" w:afterLines="50"/>
        <w:ind w:left="720" w:hanging="720"/>
        <w:outlineLvl w:val="1"/>
        <w:rPr>
          <w:rFonts w:hint="eastAsia" w:ascii="黑体" w:hAnsi="黑体" w:eastAsia="黑体"/>
          <w:bCs/>
          <w:szCs w:val="21"/>
          <w:highlight w:val="none"/>
        </w:rPr>
      </w:pPr>
      <w:bookmarkStart w:id="94" w:name="_Hlk196742779"/>
      <w:r>
        <w:rPr>
          <w:rFonts w:ascii="黑体" w:hAnsi="黑体" w:eastAsia="黑体"/>
          <w:bCs/>
          <w:szCs w:val="21"/>
          <w:highlight w:val="none"/>
        </w:rPr>
        <w:t>4.4</w:t>
      </w:r>
      <w:r>
        <w:rPr>
          <w:rFonts w:hint="eastAsia" w:ascii="黑体" w:hAnsi="黑体" w:eastAsia="黑体"/>
          <w:bCs/>
          <w:szCs w:val="21"/>
          <w:highlight w:val="none"/>
        </w:rPr>
        <w:t>.11</w:t>
      </w:r>
      <w:r>
        <w:rPr>
          <w:rFonts w:ascii="黑体" w:hAnsi="黑体" w:eastAsia="黑体"/>
          <w:bCs/>
          <w:szCs w:val="21"/>
          <w:highlight w:val="none"/>
        </w:rPr>
        <w:t xml:space="preserve"> </w:t>
      </w:r>
      <w:r>
        <w:rPr>
          <w:rFonts w:hint="eastAsia" w:ascii="黑体" w:hAnsi="黑体" w:eastAsia="黑体"/>
          <w:bCs/>
          <w:szCs w:val="21"/>
          <w:highlight w:val="none"/>
        </w:rPr>
        <w:t>正峰值声压</w:t>
      </w:r>
    </w:p>
    <w:bookmarkEnd w:id="94"/>
    <w:p w14:paraId="17637D79">
      <w:pPr>
        <w:pStyle w:val="20"/>
        <w:ind w:firstLine="420" w:firstLineChars="200"/>
        <w:jc w:val="both"/>
        <w:rPr>
          <w:sz w:val="21"/>
          <w:szCs w:val="21"/>
          <w:highlight w:val="none"/>
        </w:rPr>
      </w:pPr>
      <w:r>
        <w:rPr>
          <w:rFonts w:hint="eastAsia"/>
          <w:sz w:val="21"/>
          <w:szCs w:val="21"/>
          <w:highlight w:val="none"/>
        </w:rPr>
        <w:t>设备（通过配套导管）输出的冲击波正峰值声压，应≥2533kPa（25atm），并且≤20265kPa（200atm）。</w:t>
      </w:r>
    </w:p>
    <w:p w14:paraId="5FF6DE7B">
      <w:pPr>
        <w:tabs>
          <w:tab w:val="center" w:pos="4153"/>
          <w:tab w:val="right" w:pos="8306"/>
        </w:tabs>
        <w:snapToGrid w:val="0"/>
        <w:spacing w:before="156" w:beforeLines="50" w:after="156" w:afterLines="50"/>
        <w:ind w:left="720" w:hanging="720"/>
        <w:outlineLvl w:val="1"/>
        <w:rPr>
          <w:rFonts w:hint="eastAsia" w:ascii="黑体" w:hAnsi="黑体" w:eastAsia="黑体"/>
          <w:bCs/>
          <w:szCs w:val="21"/>
          <w:highlight w:val="none"/>
        </w:rPr>
      </w:pPr>
      <w:bookmarkStart w:id="95" w:name="_Hlk196749912"/>
      <w:r>
        <w:rPr>
          <w:rFonts w:ascii="黑体" w:hAnsi="黑体" w:eastAsia="黑体"/>
          <w:bCs/>
          <w:szCs w:val="21"/>
          <w:highlight w:val="none"/>
        </w:rPr>
        <w:t>4.4</w:t>
      </w:r>
      <w:r>
        <w:rPr>
          <w:rFonts w:hint="eastAsia" w:ascii="黑体" w:hAnsi="黑体" w:eastAsia="黑体"/>
          <w:bCs/>
          <w:szCs w:val="21"/>
          <w:highlight w:val="none"/>
        </w:rPr>
        <w:t>.12</w:t>
      </w:r>
      <w:r>
        <w:rPr>
          <w:rFonts w:ascii="黑体" w:hAnsi="黑体" w:eastAsia="黑体"/>
          <w:bCs/>
          <w:szCs w:val="21"/>
          <w:highlight w:val="none"/>
        </w:rPr>
        <w:t xml:space="preserve"> </w:t>
      </w:r>
      <w:r>
        <w:rPr>
          <w:rFonts w:hint="eastAsia" w:ascii="黑体" w:hAnsi="黑体" w:eastAsia="黑体"/>
          <w:bCs/>
          <w:szCs w:val="21"/>
          <w:highlight w:val="none"/>
        </w:rPr>
        <w:t>导管最大放电次数</w:t>
      </w:r>
    </w:p>
    <w:bookmarkEnd w:id="95"/>
    <w:p w14:paraId="26BE1B21">
      <w:pPr>
        <w:pStyle w:val="20"/>
        <w:ind w:firstLine="420" w:firstLineChars="200"/>
        <w:jc w:val="both"/>
        <w:rPr>
          <w:sz w:val="21"/>
          <w:szCs w:val="21"/>
          <w:highlight w:val="none"/>
        </w:rPr>
      </w:pPr>
      <w:r>
        <w:rPr>
          <w:rFonts w:hint="eastAsia"/>
          <w:sz w:val="21"/>
          <w:szCs w:val="21"/>
          <w:highlight w:val="none"/>
        </w:rPr>
        <w:t>制造商应规定导管最大放电次数。</w:t>
      </w:r>
    </w:p>
    <w:p w14:paraId="29E5B955">
      <w:pPr>
        <w:pStyle w:val="55"/>
        <w:numPr>
          <w:ilvl w:val="0"/>
          <w:numId w:val="0"/>
        </w:numPr>
        <w:spacing w:before="156" w:beforeLines="50" w:after="156" w:afterLines="50" w:line="240" w:lineRule="auto"/>
        <w:ind w:left="720" w:hanging="720"/>
        <w:outlineLvl w:val="1"/>
        <w:rPr>
          <w:rFonts w:hint="eastAsia" w:ascii="黑体" w:hAnsi="黑体"/>
          <w:highlight w:val="none"/>
        </w:rPr>
      </w:pPr>
      <w:r>
        <w:rPr>
          <w:rFonts w:hint="eastAsia" w:ascii="黑体" w:hAnsi="黑体"/>
          <w:highlight w:val="none"/>
        </w:rPr>
        <w:t>4.5 安全和电磁兼容性要求</w:t>
      </w:r>
    </w:p>
    <w:p w14:paraId="6D03BA7B">
      <w:pPr>
        <w:pStyle w:val="20"/>
        <w:jc w:val="both"/>
        <w:rPr>
          <w:sz w:val="21"/>
          <w:szCs w:val="21"/>
          <w:highlight w:val="none"/>
        </w:rPr>
      </w:pPr>
      <w:r>
        <w:rPr>
          <w:rFonts w:ascii="黑体" w:hAnsi="黑体"/>
          <w:sz w:val="21"/>
          <w:szCs w:val="21"/>
          <w:highlight w:val="none"/>
        </w:rPr>
        <w:t>4.</w:t>
      </w:r>
      <w:r>
        <w:rPr>
          <w:rFonts w:hint="eastAsia" w:ascii="黑体" w:hAnsi="黑体"/>
          <w:sz w:val="21"/>
          <w:szCs w:val="21"/>
          <w:highlight w:val="none"/>
        </w:rPr>
        <w:t>5.</w:t>
      </w:r>
      <w:r>
        <w:rPr>
          <w:rFonts w:ascii="黑体" w:hAnsi="黑体"/>
          <w:sz w:val="21"/>
          <w:szCs w:val="21"/>
          <w:highlight w:val="none"/>
        </w:rPr>
        <w:t xml:space="preserve">1 </w:t>
      </w:r>
      <w:r>
        <w:rPr>
          <w:rFonts w:hint="eastAsia"/>
          <w:sz w:val="21"/>
          <w:szCs w:val="21"/>
          <w:highlight w:val="none"/>
        </w:rPr>
        <w:t>设备应符合GB 9706.1中规定的安全要求。</w:t>
      </w:r>
    </w:p>
    <w:p w14:paraId="6695BBAA">
      <w:pPr>
        <w:jc w:val="left"/>
        <w:outlineLvl w:val="2"/>
        <w:rPr>
          <w:highlight w:val="none"/>
        </w:rPr>
      </w:pPr>
      <w:r>
        <w:rPr>
          <w:rFonts w:ascii="黑体" w:hAnsi="黑体"/>
          <w:szCs w:val="21"/>
          <w:highlight w:val="none"/>
        </w:rPr>
        <w:t>4.</w:t>
      </w:r>
      <w:r>
        <w:rPr>
          <w:rFonts w:hint="eastAsia" w:ascii="黑体" w:hAnsi="黑体"/>
          <w:szCs w:val="21"/>
          <w:highlight w:val="none"/>
        </w:rPr>
        <w:t>5.</w:t>
      </w:r>
      <w:r>
        <w:rPr>
          <w:rFonts w:ascii="黑体" w:hAnsi="黑体"/>
          <w:szCs w:val="21"/>
          <w:highlight w:val="none"/>
        </w:rPr>
        <w:t xml:space="preserve">2 </w:t>
      </w:r>
      <w:r>
        <w:rPr>
          <w:rFonts w:hint="eastAsia"/>
          <w:szCs w:val="21"/>
          <w:highlight w:val="none"/>
        </w:rPr>
        <w:t>设备应符合Y</w:t>
      </w:r>
      <w:r>
        <w:rPr>
          <w:szCs w:val="21"/>
          <w:highlight w:val="none"/>
        </w:rPr>
        <w:t>Y 9706.102</w:t>
      </w:r>
      <w:r>
        <w:rPr>
          <w:rFonts w:hint="eastAsia"/>
          <w:szCs w:val="21"/>
          <w:highlight w:val="none"/>
        </w:rPr>
        <w:t>规定的电磁兼容性能要求。</w:t>
      </w:r>
    </w:p>
    <w:bookmarkEnd w:id="86"/>
    <w:bookmarkEnd w:id="93"/>
    <w:p w14:paraId="286FAFC1">
      <w:pPr>
        <w:pStyle w:val="2"/>
        <w:spacing w:before="312" w:beforeLines="100" w:after="312" w:afterLines="100"/>
        <w:rPr>
          <w:b w:val="0"/>
          <w:highlight w:val="none"/>
        </w:rPr>
      </w:pPr>
      <w:bookmarkStart w:id="96" w:name="_Toc196489764"/>
      <w:bookmarkStart w:id="97" w:name="_Hlk196742801"/>
      <w:r>
        <w:rPr>
          <w:b w:val="0"/>
          <w:highlight w:val="none"/>
        </w:rPr>
        <w:t>5</w:t>
      </w:r>
      <w:r>
        <w:rPr>
          <w:rFonts w:hint="eastAsia"/>
          <w:b w:val="0"/>
          <w:highlight w:val="none"/>
        </w:rPr>
        <w:t>试验方法</w:t>
      </w:r>
      <w:bookmarkEnd w:id="96"/>
    </w:p>
    <w:p w14:paraId="6A8CE010">
      <w:pPr>
        <w:pStyle w:val="55"/>
        <w:numPr>
          <w:ilvl w:val="0"/>
          <w:numId w:val="0"/>
        </w:numPr>
        <w:spacing w:before="156" w:beforeLines="50" w:after="156" w:afterLines="50" w:line="240" w:lineRule="auto"/>
        <w:ind w:left="720" w:hanging="720"/>
        <w:outlineLvl w:val="1"/>
        <w:rPr>
          <w:rFonts w:hint="eastAsia" w:ascii="黑体" w:hAnsi="黑体"/>
          <w:highlight w:val="none"/>
        </w:rPr>
      </w:pPr>
      <w:r>
        <w:rPr>
          <w:rFonts w:ascii="黑体" w:hAnsi="黑体"/>
          <w:highlight w:val="none"/>
        </w:rPr>
        <w:t>5.</w:t>
      </w:r>
      <w:r>
        <w:rPr>
          <w:rFonts w:hint="eastAsia" w:ascii="黑体" w:hAnsi="黑体"/>
          <w:highlight w:val="none"/>
        </w:rPr>
        <w:t>1</w:t>
      </w:r>
      <w:r>
        <w:rPr>
          <w:rFonts w:ascii="黑体" w:hAnsi="黑体"/>
          <w:highlight w:val="none"/>
        </w:rPr>
        <w:t xml:space="preserve">  </w:t>
      </w:r>
      <w:r>
        <w:rPr>
          <w:rFonts w:hint="eastAsia" w:ascii="黑体" w:hAnsi="黑体"/>
          <w:highlight w:val="none"/>
        </w:rPr>
        <w:t>设备输出参数试验</w:t>
      </w:r>
    </w:p>
    <w:bookmarkEnd w:id="97"/>
    <w:p w14:paraId="05AD34FC">
      <w:pPr>
        <w:pStyle w:val="20"/>
        <w:spacing w:before="0" w:beforeLines="-2147483648" w:after="0" w:afterLines="-2147483648"/>
        <w:ind w:firstLine="420" w:firstLineChars="200"/>
        <w:jc w:val="both"/>
        <w:rPr>
          <w:sz w:val="21"/>
          <w:szCs w:val="21"/>
          <w:highlight w:val="none"/>
        </w:rPr>
      </w:pPr>
      <w:r>
        <w:rPr>
          <w:rFonts w:hint="eastAsia"/>
          <w:sz w:val="21"/>
          <w:szCs w:val="21"/>
          <w:highlight w:val="none"/>
        </w:rPr>
        <w:t>通过连接尾线将导管与设备连接，高压探头连接到设备内部高压输出端，并与数字存储示波器连接。按照制造商规定的液体和压力充盈冲击波发生腔的情况下进行测试。输出参数测试示意图见图</w:t>
      </w:r>
      <w:r>
        <w:rPr>
          <w:sz w:val="21"/>
          <w:szCs w:val="21"/>
          <w:highlight w:val="none"/>
        </w:rPr>
        <w:t>1</w:t>
      </w:r>
      <w:r>
        <w:rPr>
          <w:rFonts w:hint="eastAsia"/>
          <w:sz w:val="21"/>
          <w:szCs w:val="21"/>
          <w:highlight w:val="none"/>
        </w:rPr>
        <w:t>。</w:t>
      </w:r>
    </w:p>
    <w:p w14:paraId="7E68A9FA">
      <w:pPr>
        <w:pStyle w:val="62"/>
        <w:numPr>
          <w:ilvl w:val="0"/>
          <w:numId w:val="0"/>
        </w:numPr>
        <w:ind w:left="720"/>
        <w:jc w:val="center"/>
        <w:rPr>
          <w:highlight w:val="none"/>
        </w:rPr>
      </w:pPr>
      <w:r>
        <w:rPr>
          <w:highlight w:val="none"/>
        </w:rPr>
        <w:drawing>
          <wp:inline distT="0" distB="0" distL="0" distR="0">
            <wp:extent cx="4572000" cy="2819400"/>
            <wp:effectExtent l="0" t="0" r="0" b="0"/>
            <wp:docPr id="203417795"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7795" name="图片 13" descr="图表, 折线图&#10;&#10;AI 生成的内容可能不正确。"/>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72000" cy="2819400"/>
                    </a:xfrm>
                    <a:prstGeom prst="rect">
                      <a:avLst/>
                    </a:prstGeom>
                    <a:noFill/>
                    <a:ln>
                      <a:noFill/>
                    </a:ln>
                  </pic:spPr>
                </pic:pic>
              </a:graphicData>
            </a:graphic>
          </wp:inline>
        </w:drawing>
      </w:r>
    </w:p>
    <w:p w14:paraId="3B80C588">
      <w:pPr>
        <w:pStyle w:val="62"/>
        <w:numPr>
          <w:ilvl w:val="0"/>
          <w:numId w:val="0"/>
        </w:numPr>
        <w:ind w:left="0" w:firstLine="0"/>
        <w:jc w:val="left"/>
        <w:rPr>
          <w:highlight w:val="none"/>
        </w:rPr>
      </w:pPr>
      <w:r>
        <w:rPr>
          <w:rFonts w:hint="eastAsia"/>
          <w:highlight w:val="none"/>
        </w:rPr>
        <w:t>说明：</w:t>
      </w:r>
    </w:p>
    <w:p w14:paraId="5626BADC">
      <w:pPr>
        <w:pStyle w:val="62"/>
        <w:numPr>
          <w:ilvl w:val="0"/>
          <w:numId w:val="0"/>
        </w:numPr>
        <w:ind w:left="418" w:hanging="417" w:hangingChars="199"/>
        <w:jc w:val="both"/>
        <w:rPr>
          <w:highlight w:val="none"/>
        </w:rPr>
      </w:pPr>
      <w:bookmarkStart w:id="98" w:name="OLE_LINK17"/>
      <w:r>
        <w:rPr>
          <w:rFonts w:ascii="Cambria Math" w:hAnsi="Cambria Math"/>
          <w:i/>
          <w:iCs/>
          <w:kern w:val="2"/>
          <w:szCs w:val="21"/>
          <w:highlight w:val="none"/>
        </w:rPr>
        <w:t>U</w:t>
      </w:r>
      <w:bookmarkEnd w:id="98"/>
      <w:r>
        <w:rPr>
          <w:rFonts w:hint="eastAsia"/>
          <w:highlight w:val="none"/>
        </w:rPr>
        <w:t>—输出电压，单位为伏</w:t>
      </w:r>
      <w:r>
        <w:rPr>
          <w:rFonts w:hint="eastAsia" w:ascii="Times New Roman"/>
          <w:highlight w:val="none"/>
        </w:rPr>
        <w:t>（</w:t>
      </w:r>
      <w:r>
        <w:rPr>
          <w:rFonts w:ascii="Times New Roman"/>
          <w:highlight w:val="none"/>
        </w:rPr>
        <w:t>V</w:t>
      </w:r>
      <w:r>
        <w:rPr>
          <w:rFonts w:hint="eastAsia" w:ascii="Times New Roman"/>
          <w:highlight w:val="none"/>
        </w:rPr>
        <w:t>）</w:t>
      </w:r>
      <w:r>
        <w:rPr>
          <w:rFonts w:hint="eastAsia"/>
          <w:highlight w:val="none"/>
        </w:rPr>
        <w:t>；</w:t>
      </w:r>
    </w:p>
    <w:p w14:paraId="26DB7C90">
      <w:pPr>
        <w:pStyle w:val="62"/>
        <w:numPr>
          <w:ilvl w:val="0"/>
          <w:numId w:val="0"/>
        </w:numPr>
        <w:ind w:left="418" w:hanging="417" w:hangingChars="199"/>
        <w:jc w:val="both"/>
        <w:rPr>
          <w:highlight w:val="none"/>
        </w:rPr>
      </w:pPr>
      <w:r>
        <w:rPr>
          <w:rFonts w:ascii="Cambria Math" w:hAnsi="Cambria Math"/>
          <w:i/>
          <w:iCs/>
          <w:kern w:val="2"/>
          <w:szCs w:val="21"/>
          <w:highlight w:val="none"/>
        </w:rPr>
        <w:t>t</w:t>
      </w:r>
      <w:r>
        <w:rPr>
          <w:rFonts w:ascii="Cambria Math" w:hAnsi="Cambria Math"/>
          <w:i/>
          <w:iCs/>
          <w:kern w:val="2"/>
          <w:szCs w:val="21"/>
          <w:highlight w:val="none"/>
          <w:vertAlign w:val="subscript"/>
        </w:rPr>
        <w:t>w</w:t>
      </w:r>
      <w:r>
        <w:rPr>
          <w:rFonts w:hint="eastAsia"/>
          <w:highlight w:val="none"/>
        </w:rPr>
        <w:t>—从</w:t>
      </w:r>
      <w:bookmarkStart w:id="99" w:name="OLE_LINK20"/>
      <w:r>
        <w:rPr>
          <w:rFonts w:hint="eastAsia"/>
          <w:highlight w:val="none"/>
        </w:rPr>
        <w:t>第一次超过</w:t>
      </w:r>
      <w:bookmarkEnd w:id="99"/>
      <w:r>
        <w:rPr>
          <w:rFonts w:hint="eastAsia" w:ascii="Cambria Math" w:hAnsi="Cambria Math"/>
          <w:kern w:val="2"/>
          <w:szCs w:val="21"/>
          <w:highlight w:val="none"/>
        </w:rPr>
        <w:t>输出电压</w:t>
      </w:r>
      <w:r>
        <w:rPr>
          <w:rFonts w:hint="eastAsia"/>
          <w:highlight w:val="none"/>
        </w:rPr>
        <w:t>的</w:t>
      </w:r>
      <w:r>
        <w:rPr>
          <w:rFonts w:ascii="Times New Roman"/>
          <w:highlight w:val="none"/>
        </w:rPr>
        <w:t>90%</w:t>
      </w:r>
      <w:r>
        <w:rPr>
          <w:rFonts w:hint="eastAsia"/>
          <w:highlight w:val="none"/>
        </w:rPr>
        <w:t>到第一次降低到</w:t>
      </w:r>
      <w:r>
        <w:rPr>
          <w:rFonts w:hint="eastAsia" w:ascii="Cambria Math" w:hAnsi="Cambria Math"/>
          <w:kern w:val="2"/>
          <w:szCs w:val="21"/>
          <w:highlight w:val="none"/>
        </w:rPr>
        <w:t>输出电压</w:t>
      </w:r>
      <w:r>
        <w:rPr>
          <w:rFonts w:hint="eastAsia"/>
          <w:highlight w:val="none"/>
        </w:rPr>
        <w:t>的</w:t>
      </w:r>
      <w:r>
        <w:rPr>
          <w:rFonts w:ascii="Times New Roman"/>
          <w:highlight w:val="none"/>
        </w:rPr>
        <w:t>90%</w:t>
      </w:r>
      <w:r>
        <w:rPr>
          <w:rFonts w:hint="eastAsia"/>
          <w:highlight w:val="none"/>
        </w:rPr>
        <w:t>之间的时间，单位为微秒</w:t>
      </w:r>
      <w:r>
        <w:rPr>
          <w:rFonts w:hint="eastAsia" w:ascii="Times New Roman"/>
          <w:highlight w:val="none"/>
        </w:rPr>
        <w:t>（μ</w:t>
      </w:r>
      <w:r>
        <w:rPr>
          <w:rFonts w:ascii="Times New Roman"/>
          <w:highlight w:val="none"/>
        </w:rPr>
        <w:t>s</w:t>
      </w:r>
      <w:r>
        <w:rPr>
          <w:rFonts w:hint="eastAsia" w:ascii="Times New Roman"/>
          <w:highlight w:val="none"/>
        </w:rPr>
        <w:t>）</w:t>
      </w:r>
      <w:r>
        <w:rPr>
          <w:rFonts w:hint="eastAsia"/>
          <w:highlight w:val="none"/>
        </w:rPr>
        <w:t>；</w:t>
      </w:r>
    </w:p>
    <w:p w14:paraId="4D4676B4">
      <w:pPr>
        <w:pStyle w:val="62"/>
        <w:numPr>
          <w:ilvl w:val="0"/>
          <w:numId w:val="0"/>
        </w:numPr>
        <w:ind w:left="418" w:hanging="417" w:hangingChars="199"/>
        <w:rPr>
          <w:highlight w:val="none"/>
        </w:rPr>
      </w:pPr>
      <w:bookmarkStart w:id="100" w:name="OLE_LINK15"/>
      <w:bookmarkStart w:id="101" w:name="OLE_LINK14"/>
      <w:r>
        <w:rPr>
          <w:rFonts w:hint="eastAsia" w:ascii="Cambria Math" w:hAnsi="Cambria Math"/>
          <w:i/>
          <w:iCs/>
          <w:kern w:val="2"/>
          <w:szCs w:val="21"/>
          <w:highlight w:val="none"/>
        </w:rPr>
        <w:t>t</w:t>
      </w:r>
      <w:r>
        <w:rPr>
          <w:rFonts w:ascii="Cambria Math" w:hAnsi="Cambria Math"/>
          <w:i/>
          <w:iCs/>
          <w:kern w:val="2"/>
          <w:szCs w:val="21"/>
          <w:highlight w:val="none"/>
          <w:vertAlign w:val="subscript"/>
        </w:rPr>
        <w:t>c</w:t>
      </w:r>
      <w:bookmarkEnd w:id="100"/>
      <w:bookmarkEnd w:id="101"/>
      <w:r>
        <w:rPr>
          <w:rFonts w:hint="eastAsia"/>
          <w:highlight w:val="none"/>
        </w:rPr>
        <w:t>—</w:t>
      </w:r>
      <w:bookmarkStart w:id="102" w:name="OLE_LINK19"/>
      <w:r>
        <w:rPr>
          <w:rFonts w:hint="eastAsia" w:ascii="黑体" w:hAnsi="黑体"/>
          <w:szCs w:val="21"/>
          <w:highlight w:val="none"/>
        </w:rPr>
        <w:t>从前一个高压脉冲</w:t>
      </w:r>
      <w:r>
        <w:rPr>
          <w:rFonts w:hint="eastAsia"/>
          <w:highlight w:val="none"/>
        </w:rPr>
        <w:t>第一次超过</w:t>
      </w:r>
      <w:r>
        <w:rPr>
          <w:rFonts w:hint="eastAsia" w:ascii="黑体" w:hAnsi="黑体"/>
          <w:szCs w:val="21"/>
          <w:highlight w:val="none"/>
        </w:rPr>
        <w:t>输出电压的</w:t>
      </w:r>
      <w:r>
        <w:rPr>
          <w:rFonts w:hint="eastAsia" w:ascii="Times New Roman" w:hAnsi="Times New Roman"/>
          <w:szCs w:val="21"/>
          <w:highlight w:val="none"/>
        </w:rPr>
        <w:t>90%</w:t>
      </w:r>
      <w:r>
        <w:rPr>
          <w:rFonts w:hint="eastAsia" w:ascii="黑体" w:hAnsi="黑体"/>
          <w:szCs w:val="21"/>
          <w:highlight w:val="none"/>
        </w:rPr>
        <w:t>到后一个高压脉冲第一次超过输出电压的</w:t>
      </w:r>
      <w:r>
        <w:rPr>
          <w:rFonts w:hint="eastAsia" w:ascii="Times New Roman" w:hAnsi="Times New Roman"/>
          <w:szCs w:val="21"/>
          <w:highlight w:val="none"/>
        </w:rPr>
        <w:t>90%</w:t>
      </w:r>
      <w:r>
        <w:rPr>
          <w:rFonts w:hint="eastAsia" w:ascii="黑体" w:hAnsi="黑体"/>
          <w:szCs w:val="21"/>
          <w:highlight w:val="none"/>
        </w:rPr>
        <w:t>之间的时间</w:t>
      </w:r>
      <w:bookmarkEnd w:id="102"/>
      <w:r>
        <w:rPr>
          <w:rFonts w:hint="eastAsia" w:ascii="黑体" w:hAnsi="黑体"/>
          <w:szCs w:val="21"/>
          <w:highlight w:val="none"/>
        </w:rPr>
        <w:t>，单位为秒</w:t>
      </w:r>
      <w:r>
        <w:rPr>
          <w:rFonts w:hint="eastAsia" w:ascii="Times New Roman" w:hAnsi="Times New Roman"/>
          <w:szCs w:val="21"/>
          <w:highlight w:val="none"/>
        </w:rPr>
        <w:t>（s）</w:t>
      </w:r>
      <w:r>
        <w:rPr>
          <w:rFonts w:hint="eastAsia"/>
          <w:highlight w:val="none"/>
        </w:rPr>
        <w:t>；</w:t>
      </w:r>
    </w:p>
    <w:p w14:paraId="4B05FD03">
      <w:pPr>
        <w:pStyle w:val="62"/>
        <w:numPr>
          <w:ilvl w:val="0"/>
          <w:numId w:val="0"/>
        </w:numPr>
        <w:ind w:left="418" w:hanging="417" w:hangingChars="199"/>
        <w:rPr>
          <w:highlight w:val="none"/>
        </w:rPr>
      </w:pPr>
      <w:r>
        <w:rPr>
          <w:rFonts w:hint="eastAsia" w:ascii="Cambria Math" w:hAnsi="Cambria Math"/>
          <w:i/>
          <w:iCs/>
          <w:kern w:val="2"/>
          <w:szCs w:val="21"/>
          <w:highlight w:val="none"/>
        </w:rPr>
        <w:t>X</w:t>
      </w:r>
      <w:r>
        <w:rPr>
          <w:rFonts w:hint="eastAsia"/>
          <w:highlight w:val="none"/>
        </w:rPr>
        <w:t>—时间；</w:t>
      </w:r>
    </w:p>
    <w:p w14:paraId="30506478">
      <w:pPr>
        <w:pStyle w:val="62"/>
        <w:numPr>
          <w:ilvl w:val="0"/>
          <w:numId w:val="0"/>
        </w:numPr>
        <w:ind w:left="418" w:hanging="417" w:hangingChars="199"/>
        <w:jc w:val="both"/>
        <w:rPr>
          <w:highlight w:val="none"/>
        </w:rPr>
      </w:pPr>
      <w:r>
        <w:rPr>
          <w:rFonts w:hint="eastAsia" w:ascii="Cambria Math" w:hAnsi="Cambria Math"/>
          <w:i/>
          <w:iCs/>
          <w:kern w:val="2"/>
          <w:szCs w:val="21"/>
          <w:highlight w:val="none"/>
        </w:rPr>
        <w:t>Y</w:t>
      </w:r>
      <w:r>
        <w:rPr>
          <w:rFonts w:hint="eastAsia"/>
          <w:highlight w:val="none"/>
        </w:rPr>
        <w:t>—高压电压。</w:t>
      </w:r>
    </w:p>
    <w:p w14:paraId="51728F34">
      <w:pPr>
        <w:pStyle w:val="62"/>
        <w:numPr>
          <w:ilvl w:val="0"/>
          <w:numId w:val="0"/>
        </w:numPr>
        <w:spacing w:before="156" w:beforeLines="50" w:after="156" w:afterLines="50"/>
        <w:ind w:left="720"/>
        <w:jc w:val="center"/>
        <w:outlineLvl w:val="1"/>
        <w:rPr>
          <w:rFonts w:hint="eastAsia" w:ascii="黑体" w:hAnsi="黑体"/>
          <w:highlight w:val="none"/>
        </w:rPr>
      </w:pPr>
      <w:r>
        <w:rPr>
          <w:rFonts w:hint="eastAsia" w:ascii="黑体" w:hAnsi="黑体" w:eastAsia="黑体"/>
          <w:szCs w:val="21"/>
          <w:highlight w:val="none"/>
        </w:rPr>
        <w:t>图1设备输出参数</w:t>
      </w:r>
      <w:r>
        <w:rPr>
          <w:rFonts w:hint="eastAsia" w:ascii="黑体" w:hAnsi="黑体" w:eastAsia="黑体"/>
          <w:szCs w:val="21"/>
          <w:highlight w:val="none"/>
          <w:lang w:val="zh-CN"/>
        </w:rPr>
        <w:t>测试示意图</w:t>
      </w:r>
    </w:p>
    <w:p w14:paraId="397CBC5A">
      <w:pPr>
        <w:pStyle w:val="55"/>
        <w:numPr>
          <w:ilvl w:val="0"/>
          <w:numId w:val="0"/>
        </w:numPr>
        <w:spacing w:before="156" w:beforeLines="50" w:after="156" w:afterLines="50" w:line="240" w:lineRule="auto"/>
        <w:ind w:left="720" w:hanging="720"/>
        <w:outlineLvl w:val="2"/>
        <w:rPr>
          <w:rFonts w:hint="eastAsia" w:ascii="黑体" w:hAnsi="黑体"/>
          <w:highlight w:val="none"/>
        </w:rPr>
      </w:pPr>
      <w:bookmarkStart w:id="103" w:name="_Hlk196744568"/>
      <w:r>
        <w:rPr>
          <w:rFonts w:ascii="黑体" w:hAnsi="黑体"/>
          <w:highlight w:val="none"/>
        </w:rPr>
        <w:t>5.</w:t>
      </w:r>
      <w:r>
        <w:rPr>
          <w:rFonts w:hint="eastAsia" w:ascii="黑体" w:hAnsi="黑体"/>
          <w:highlight w:val="none"/>
        </w:rPr>
        <w:t>1</w:t>
      </w:r>
      <w:r>
        <w:rPr>
          <w:rFonts w:ascii="黑体" w:hAnsi="黑体"/>
          <w:highlight w:val="none"/>
        </w:rPr>
        <w:t xml:space="preserve">.1 </w:t>
      </w:r>
      <w:r>
        <w:rPr>
          <w:rFonts w:hint="eastAsia" w:ascii="黑体" w:hAnsi="黑体"/>
          <w:highlight w:val="none"/>
        </w:rPr>
        <w:t>输出电压范围</w:t>
      </w:r>
    </w:p>
    <w:bookmarkEnd w:id="103"/>
    <w:p w14:paraId="2DAAE8C6">
      <w:pPr>
        <w:pStyle w:val="20"/>
        <w:spacing w:before="156" w:beforeLines="50" w:after="156" w:afterLines="50"/>
        <w:ind w:firstLine="420" w:firstLineChars="200"/>
        <w:jc w:val="left"/>
        <w:rPr>
          <w:sz w:val="21"/>
          <w:szCs w:val="21"/>
          <w:highlight w:val="none"/>
        </w:rPr>
      </w:pPr>
      <w:r>
        <w:rPr>
          <w:rFonts w:hint="eastAsia"/>
          <w:sz w:val="21"/>
          <w:szCs w:val="21"/>
          <w:highlight w:val="none"/>
        </w:rPr>
        <w:t>在设备处于正常输出冲击波脉冲情况下，同步使用数字存储示波器记录输出的高压电压值，输出电压为图</w:t>
      </w:r>
      <w:r>
        <w:rPr>
          <w:sz w:val="21"/>
          <w:szCs w:val="21"/>
          <w:highlight w:val="none"/>
        </w:rPr>
        <w:t>1</w:t>
      </w:r>
      <w:r>
        <w:rPr>
          <w:rFonts w:hint="eastAsia"/>
          <w:sz w:val="21"/>
          <w:szCs w:val="21"/>
          <w:highlight w:val="none"/>
        </w:rPr>
        <w:t>中</w:t>
      </w:r>
      <w:r>
        <w:rPr>
          <w:rFonts w:ascii="Cambria Math" w:hAnsi="Cambria Math"/>
          <w:i/>
          <w:iCs/>
          <w:sz w:val="21"/>
          <w:szCs w:val="21"/>
          <w:highlight w:val="none"/>
        </w:rPr>
        <w:t>U</w:t>
      </w:r>
      <w:r>
        <w:rPr>
          <w:rFonts w:hint="eastAsia"/>
          <w:sz w:val="21"/>
          <w:szCs w:val="21"/>
          <w:highlight w:val="none"/>
        </w:rPr>
        <w:t>数据，输出电压值为波形峰值数值。</w:t>
      </w:r>
    </w:p>
    <w:p w14:paraId="0E5118D5">
      <w:pPr>
        <w:pStyle w:val="55"/>
        <w:numPr>
          <w:ilvl w:val="0"/>
          <w:numId w:val="0"/>
        </w:numPr>
        <w:spacing w:before="156" w:beforeLines="50" w:after="156" w:afterLines="50" w:line="240" w:lineRule="auto"/>
        <w:ind w:left="720" w:hanging="720"/>
        <w:jc w:val="left"/>
        <w:outlineLvl w:val="2"/>
        <w:rPr>
          <w:highlight w:val="none"/>
        </w:rPr>
      </w:pPr>
      <w:bookmarkStart w:id="104" w:name="_Hlk196745097"/>
      <w:r>
        <w:rPr>
          <w:rFonts w:ascii="黑体" w:hAnsi="黑体"/>
          <w:highlight w:val="none"/>
        </w:rPr>
        <w:t>5.</w:t>
      </w:r>
      <w:r>
        <w:rPr>
          <w:rFonts w:hint="eastAsia" w:ascii="黑体" w:hAnsi="黑体"/>
          <w:highlight w:val="none"/>
        </w:rPr>
        <w:t>1</w:t>
      </w:r>
      <w:r>
        <w:rPr>
          <w:rFonts w:ascii="黑体" w:hAnsi="黑体"/>
          <w:highlight w:val="none"/>
        </w:rPr>
        <w:t xml:space="preserve">.2 </w:t>
      </w:r>
      <w:r>
        <w:rPr>
          <w:rFonts w:hint="eastAsia" w:ascii="黑体" w:hAnsi="黑体"/>
          <w:highlight w:val="none"/>
        </w:rPr>
        <w:t>连续脉冲频率</w:t>
      </w:r>
      <w:bookmarkEnd w:id="104"/>
    </w:p>
    <w:p w14:paraId="5B664988">
      <w:pPr>
        <w:pStyle w:val="20"/>
        <w:spacing w:before="156" w:beforeLines="50" w:after="156" w:afterLines="50"/>
        <w:ind w:firstLine="420" w:firstLineChars="200"/>
        <w:jc w:val="left"/>
        <w:rPr>
          <w:sz w:val="21"/>
          <w:szCs w:val="21"/>
          <w:highlight w:val="none"/>
        </w:rPr>
      </w:pPr>
      <w:r>
        <w:rPr>
          <w:rFonts w:hint="eastAsia"/>
          <w:sz w:val="21"/>
          <w:szCs w:val="21"/>
          <w:highlight w:val="none"/>
        </w:rPr>
        <w:t>在设备处于最高输出冲击波脉冲频率情况下，同步使用数字存储示波器记录两次输出电压的间隔时间，脉冲间隔时间为图</w:t>
      </w:r>
      <w:r>
        <w:rPr>
          <w:sz w:val="21"/>
          <w:szCs w:val="21"/>
          <w:highlight w:val="none"/>
        </w:rPr>
        <w:t>1</w:t>
      </w:r>
      <w:r>
        <w:rPr>
          <w:rFonts w:hint="eastAsia"/>
          <w:sz w:val="21"/>
          <w:szCs w:val="21"/>
          <w:highlight w:val="none"/>
        </w:rPr>
        <w:t>中</w:t>
      </w:r>
      <w:r>
        <w:rPr>
          <w:rFonts w:hint="eastAsia" w:ascii="Cambria Math" w:hAnsi="Cambria Math"/>
          <w:i/>
          <w:iCs/>
          <w:sz w:val="21"/>
          <w:szCs w:val="21"/>
          <w:highlight w:val="none"/>
        </w:rPr>
        <w:t>t</w:t>
      </w:r>
      <w:r>
        <w:rPr>
          <w:rFonts w:ascii="Cambria Math" w:hAnsi="Cambria Math"/>
          <w:i/>
          <w:iCs/>
          <w:sz w:val="21"/>
          <w:szCs w:val="21"/>
          <w:highlight w:val="none"/>
          <w:vertAlign w:val="subscript"/>
        </w:rPr>
        <w:t>c</w:t>
      </w:r>
      <w:r>
        <w:rPr>
          <w:rFonts w:hint="eastAsia"/>
          <w:sz w:val="21"/>
          <w:szCs w:val="21"/>
          <w:highlight w:val="none"/>
        </w:rPr>
        <w:t>数据，并将时间数据换算为频率。</w:t>
      </w:r>
    </w:p>
    <w:p w14:paraId="1C9A13FC">
      <w:pPr>
        <w:pStyle w:val="55"/>
        <w:numPr>
          <w:ilvl w:val="0"/>
          <w:numId w:val="0"/>
        </w:numPr>
        <w:spacing w:before="156" w:beforeLines="50" w:after="156" w:afterLines="50" w:line="240" w:lineRule="auto"/>
        <w:ind w:left="720" w:hanging="720"/>
        <w:jc w:val="left"/>
        <w:outlineLvl w:val="2"/>
        <w:rPr>
          <w:highlight w:val="none"/>
        </w:rPr>
      </w:pPr>
      <w:r>
        <w:rPr>
          <w:rFonts w:ascii="黑体" w:hAnsi="黑体"/>
          <w:highlight w:val="none"/>
        </w:rPr>
        <w:t>5.</w:t>
      </w:r>
      <w:r>
        <w:rPr>
          <w:rFonts w:hint="eastAsia" w:ascii="黑体" w:hAnsi="黑体"/>
          <w:highlight w:val="none"/>
        </w:rPr>
        <w:t>1</w:t>
      </w:r>
      <w:r>
        <w:rPr>
          <w:rFonts w:ascii="黑体" w:hAnsi="黑体"/>
          <w:highlight w:val="none"/>
        </w:rPr>
        <w:t xml:space="preserve">.3 </w:t>
      </w:r>
      <w:r>
        <w:rPr>
          <w:rFonts w:hint="eastAsia" w:ascii="黑体" w:hAnsi="黑体"/>
          <w:highlight w:val="none"/>
        </w:rPr>
        <w:t>高压脉冲宽度</w:t>
      </w:r>
    </w:p>
    <w:p w14:paraId="2EC86CCD">
      <w:pPr>
        <w:pStyle w:val="20"/>
        <w:ind w:firstLine="420" w:firstLineChars="200"/>
        <w:jc w:val="both"/>
        <w:rPr>
          <w:rFonts w:ascii="黑体" w:hAnsi="黑体"/>
          <w:sz w:val="21"/>
          <w:szCs w:val="21"/>
          <w:highlight w:val="none"/>
        </w:rPr>
      </w:pPr>
      <w:r>
        <w:rPr>
          <w:rFonts w:hint="eastAsia" w:ascii="黑体" w:hAnsi="黑体"/>
          <w:sz w:val="21"/>
          <w:szCs w:val="21"/>
          <w:highlight w:val="none"/>
        </w:rPr>
        <w:t>在设备处于正常输出冲击波脉冲情况下，同步使用数字存储示波器记录输出脉冲电压，并记录高压电压幅值从第一次超过最大值的</w:t>
      </w:r>
      <w:r>
        <w:rPr>
          <w:rFonts w:ascii="黑体" w:hAnsi="黑体"/>
          <w:sz w:val="21"/>
          <w:szCs w:val="21"/>
          <w:highlight w:val="none"/>
        </w:rPr>
        <w:t>90%</w:t>
      </w:r>
      <w:r>
        <w:rPr>
          <w:rFonts w:hint="eastAsia" w:ascii="黑体" w:hAnsi="黑体"/>
          <w:sz w:val="21"/>
          <w:szCs w:val="21"/>
          <w:highlight w:val="none"/>
        </w:rPr>
        <w:t>到第一次降低到最大值的</w:t>
      </w:r>
      <w:r>
        <w:rPr>
          <w:rFonts w:ascii="黑体" w:hAnsi="黑体"/>
          <w:sz w:val="21"/>
          <w:szCs w:val="21"/>
          <w:highlight w:val="none"/>
        </w:rPr>
        <w:t>90%</w:t>
      </w:r>
      <w:r>
        <w:rPr>
          <w:rFonts w:hint="eastAsia" w:ascii="黑体" w:hAnsi="黑体"/>
          <w:sz w:val="21"/>
          <w:szCs w:val="21"/>
          <w:highlight w:val="none"/>
        </w:rPr>
        <w:t>之间的时间，脉冲宽度为图</w:t>
      </w:r>
      <w:r>
        <w:rPr>
          <w:rFonts w:ascii="黑体" w:hAnsi="黑体"/>
          <w:sz w:val="21"/>
          <w:szCs w:val="21"/>
          <w:highlight w:val="none"/>
        </w:rPr>
        <w:t>1</w:t>
      </w:r>
      <w:r>
        <w:rPr>
          <w:rFonts w:hint="eastAsia" w:ascii="黑体" w:hAnsi="黑体"/>
          <w:sz w:val="21"/>
          <w:szCs w:val="21"/>
          <w:highlight w:val="none"/>
        </w:rPr>
        <w:t>中</w:t>
      </w:r>
      <w:r>
        <w:rPr>
          <w:rFonts w:ascii="Cambria Math" w:hAnsi="Cambria Math"/>
          <w:i/>
          <w:iCs/>
          <w:sz w:val="21"/>
          <w:szCs w:val="21"/>
          <w:highlight w:val="none"/>
        </w:rPr>
        <w:t>t</w:t>
      </w:r>
      <w:r>
        <w:rPr>
          <w:rFonts w:ascii="Cambria Math" w:hAnsi="Cambria Math"/>
          <w:i/>
          <w:iCs/>
          <w:sz w:val="21"/>
          <w:szCs w:val="21"/>
          <w:highlight w:val="none"/>
          <w:vertAlign w:val="subscript"/>
        </w:rPr>
        <w:t>w</w:t>
      </w:r>
      <w:r>
        <w:rPr>
          <w:rFonts w:hint="eastAsia" w:ascii="黑体" w:hAnsi="黑体"/>
          <w:sz w:val="21"/>
          <w:szCs w:val="21"/>
          <w:highlight w:val="none"/>
        </w:rPr>
        <w:t>数据。</w:t>
      </w:r>
    </w:p>
    <w:p w14:paraId="5DFD73AD">
      <w:pPr>
        <w:pStyle w:val="55"/>
        <w:numPr>
          <w:ilvl w:val="0"/>
          <w:numId w:val="0"/>
        </w:numPr>
        <w:spacing w:before="156" w:beforeLines="50" w:after="156" w:afterLines="50" w:line="240" w:lineRule="auto"/>
        <w:ind w:left="720" w:hanging="720"/>
        <w:outlineLvl w:val="2"/>
        <w:rPr>
          <w:rFonts w:hint="eastAsia" w:ascii="黑体" w:hAnsi="黑体"/>
          <w:highlight w:val="none"/>
        </w:rPr>
      </w:pPr>
      <w:bookmarkStart w:id="105" w:name="_Hlk196746100"/>
      <w:r>
        <w:rPr>
          <w:rFonts w:ascii="黑体" w:hAnsi="黑体"/>
          <w:highlight w:val="none"/>
        </w:rPr>
        <w:t>5</w:t>
      </w:r>
      <w:r>
        <w:rPr>
          <w:rFonts w:hint="eastAsia" w:ascii="黑体" w:hAnsi="黑体"/>
          <w:highlight w:val="none"/>
        </w:rPr>
        <w:t>.1.</w:t>
      </w:r>
      <w:r>
        <w:rPr>
          <w:rFonts w:ascii="黑体" w:hAnsi="黑体"/>
          <w:highlight w:val="none"/>
        </w:rPr>
        <w:t xml:space="preserve">4 </w:t>
      </w:r>
      <w:r>
        <w:rPr>
          <w:rFonts w:hint="eastAsia" w:ascii="黑体" w:hAnsi="黑体"/>
          <w:highlight w:val="none"/>
        </w:rPr>
        <w:t>最小暂停时间</w:t>
      </w:r>
    </w:p>
    <w:bookmarkEnd w:id="105"/>
    <w:p w14:paraId="17FEBC22">
      <w:pPr>
        <w:pStyle w:val="20"/>
        <w:ind w:firstLine="420" w:firstLineChars="200"/>
        <w:jc w:val="left"/>
        <w:rPr>
          <w:rFonts w:ascii="黑体" w:hAnsi="黑体"/>
          <w:sz w:val="21"/>
          <w:szCs w:val="21"/>
          <w:highlight w:val="none"/>
        </w:rPr>
      </w:pPr>
      <w:r>
        <w:rPr>
          <w:rFonts w:hint="eastAsia" w:ascii="黑体" w:hAnsi="黑体"/>
          <w:sz w:val="21"/>
          <w:szCs w:val="21"/>
          <w:highlight w:val="none"/>
        </w:rPr>
        <w:t>在设备处于正常冲击波脉冲输出情况下，使设备连续输出冲击波脉冲。当达到制造商规定的单个周期连续脉冲数后，设备自动暂停输出。使用秒表记录从输出停止时刻至设备恢复冲击波脉冲输出能力的时间间隔，结果应符合4.1.4的要求。</w:t>
      </w:r>
    </w:p>
    <w:p w14:paraId="1C559D50">
      <w:pPr>
        <w:pStyle w:val="55"/>
        <w:numPr>
          <w:ilvl w:val="0"/>
          <w:numId w:val="0"/>
        </w:numPr>
        <w:spacing w:before="156" w:beforeLines="50" w:after="156" w:afterLines="50" w:line="240" w:lineRule="auto"/>
        <w:ind w:left="720" w:hanging="720"/>
        <w:outlineLvl w:val="1"/>
        <w:rPr>
          <w:rFonts w:hint="eastAsia" w:ascii="黑体" w:hAnsi="黑体"/>
          <w:highlight w:val="none"/>
        </w:rPr>
      </w:pPr>
      <w:r>
        <w:rPr>
          <w:rFonts w:ascii="黑体" w:hAnsi="黑体"/>
          <w:highlight w:val="none"/>
        </w:rPr>
        <w:t>5</w:t>
      </w:r>
      <w:r>
        <w:rPr>
          <w:rFonts w:hint="eastAsia" w:ascii="黑体" w:hAnsi="黑体"/>
          <w:highlight w:val="none"/>
        </w:rPr>
        <w:t>.2 设备与导管配合试验</w:t>
      </w:r>
    </w:p>
    <w:p w14:paraId="1B80D065">
      <w:pPr>
        <w:pStyle w:val="20"/>
        <w:jc w:val="both"/>
        <w:rPr>
          <w:sz w:val="21"/>
          <w:szCs w:val="21"/>
          <w:highlight w:val="none"/>
        </w:rPr>
      </w:pPr>
      <w:r>
        <w:rPr>
          <w:rFonts w:ascii="黑体" w:hAnsi="黑体"/>
          <w:sz w:val="21"/>
          <w:szCs w:val="21"/>
          <w:highlight w:val="none"/>
        </w:rPr>
        <w:t>5.</w:t>
      </w:r>
      <w:r>
        <w:rPr>
          <w:rFonts w:hint="eastAsia" w:ascii="黑体" w:hAnsi="黑体"/>
          <w:sz w:val="21"/>
          <w:szCs w:val="21"/>
          <w:highlight w:val="none"/>
        </w:rPr>
        <w:t>2</w:t>
      </w:r>
      <w:r>
        <w:rPr>
          <w:rFonts w:ascii="黑体" w:hAnsi="黑体"/>
          <w:sz w:val="21"/>
          <w:szCs w:val="21"/>
          <w:highlight w:val="none"/>
        </w:rPr>
        <w:t>.1</w:t>
      </w:r>
      <w:r>
        <w:rPr>
          <w:rFonts w:hint="eastAsia" w:ascii="黑体" w:hAnsi="黑体"/>
          <w:sz w:val="21"/>
          <w:szCs w:val="21"/>
          <w:highlight w:val="none"/>
        </w:rPr>
        <w:t>将配合使用的冲击波导管与设备连接，观察设备显示信息，应能正确识别导管型号或类型。</w:t>
      </w:r>
    </w:p>
    <w:p w14:paraId="78BB44E0">
      <w:pPr>
        <w:pStyle w:val="20"/>
        <w:jc w:val="both"/>
        <w:rPr>
          <w:rFonts w:hint="eastAsia" w:ascii="黑体" w:hAnsi="黑体"/>
          <w:sz w:val="21"/>
          <w:szCs w:val="21"/>
          <w:highlight w:val="none"/>
        </w:rPr>
      </w:pPr>
      <w:r>
        <w:rPr>
          <w:rFonts w:ascii="黑体" w:hAnsi="黑体"/>
          <w:sz w:val="21"/>
          <w:szCs w:val="21"/>
          <w:highlight w:val="none"/>
        </w:rPr>
        <w:t>5.</w:t>
      </w:r>
      <w:r>
        <w:rPr>
          <w:rFonts w:hint="eastAsia" w:ascii="黑体" w:hAnsi="黑体"/>
          <w:sz w:val="21"/>
          <w:szCs w:val="21"/>
          <w:highlight w:val="none"/>
        </w:rPr>
        <w:t>2</w:t>
      </w:r>
      <w:r>
        <w:rPr>
          <w:rFonts w:ascii="黑体" w:hAnsi="黑体"/>
          <w:sz w:val="21"/>
          <w:szCs w:val="21"/>
          <w:highlight w:val="none"/>
        </w:rPr>
        <w:t>.2</w:t>
      </w:r>
      <w:r>
        <w:rPr>
          <w:rFonts w:hint="eastAsia" w:ascii="黑体" w:hAnsi="黑体"/>
          <w:sz w:val="21"/>
          <w:szCs w:val="21"/>
          <w:highlight w:val="none"/>
        </w:rPr>
        <w:t>将配合使用的冲击波导管与设备连接，观察设备显示信息，应能正确显示导管剩余使用次数。</w:t>
      </w:r>
    </w:p>
    <w:p w14:paraId="434E3924">
      <w:pPr>
        <w:pStyle w:val="20"/>
        <w:jc w:val="both"/>
        <w:rPr>
          <w:rFonts w:hint="eastAsia" w:ascii="黑体" w:hAnsi="黑体"/>
          <w:sz w:val="21"/>
          <w:szCs w:val="21"/>
          <w:highlight w:val="none"/>
        </w:rPr>
      </w:pPr>
      <w:r>
        <w:rPr>
          <w:rFonts w:hint="eastAsia" w:ascii="黑体" w:hAnsi="黑体"/>
          <w:sz w:val="21"/>
          <w:szCs w:val="21"/>
          <w:highlight w:val="none"/>
        </w:rPr>
        <w:t>5.2.3将配合使用的冲击波导管与设备连接，连续输出脉冲，直到设备自动暂停，确认单个周期连续脉冲数，在输出期间导管应正常释放冲击波。</w:t>
      </w:r>
    </w:p>
    <w:p w14:paraId="515E1A70">
      <w:pPr>
        <w:tabs>
          <w:tab w:val="center" w:pos="4153"/>
          <w:tab w:val="right" w:pos="8306"/>
        </w:tabs>
        <w:snapToGrid w:val="0"/>
        <w:spacing w:before="156" w:beforeLines="50" w:after="156" w:afterLines="50"/>
        <w:ind w:left="720" w:hanging="720"/>
        <w:outlineLvl w:val="1"/>
        <w:rPr>
          <w:rFonts w:hint="eastAsia" w:ascii="黑体" w:hAnsi="黑体" w:eastAsia="黑体"/>
          <w:bCs/>
          <w:szCs w:val="21"/>
          <w:highlight w:val="none"/>
        </w:rPr>
      </w:pPr>
      <w:r>
        <w:rPr>
          <w:rFonts w:ascii="黑体" w:hAnsi="黑体" w:eastAsia="黑体"/>
          <w:bCs/>
          <w:szCs w:val="21"/>
          <w:highlight w:val="none"/>
        </w:rPr>
        <w:t>5.</w:t>
      </w:r>
      <w:r>
        <w:rPr>
          <w:rFonts w:hint="eastAsia" w:ascii="黑体" w:hAnsi="黑体" w:eastAsia="黑体"/>
          <w:bCs/>
          <w:szCs w:val="21"/>
          <w:highlight w:val="none"/>
        </w:rPr>
        <w:t>3</w:t>
      </w:r>
      <w:r>
        <w:rPr>
          <w:rFonts w:ascii="黑体" w:hAnsi="黑体" w:eastAsia="黑体"/>
          <w:bCs/>
          <w:szCs w:val="21"/>
          <w:highlight w:val="none"/>
        </w:rPr>
        <w:t xml:space="preserve"> </w:t>
      </w:r>
      <w:r>
        <w:rPr>
          <w:rFonts w:hint="eastAsia" w:ascii="黑体" w:hAnsi="黑体" w:eastAsia="黑体"/>
          <w:bCs/>
          <w:szCs w:val="21"/>
          <w:highlight w:val="none"/>
        </w:rPr>
        <w:t>设备功能</w:t>
      </w:r>
    </w:p>
    <w:p w14:paraId="509A0E98">
      <w:pPr>
        <w:pStyle w:val="20"/>
        <w:ind w:firstLine="420" w:firstLineChars="200"/>
        <w:jc w:val="left"/>
        <w:rPr>
          <w:rFonts w:hint="eastAsia" w:ascii="黑体" w:hAnsi="黑体"/>
          <w:sz w:val="21"/>
          <w:szCs w:val="21"/>
          <w:highlight w:val="none"/>
        </w:rPr>
      </w:pPr>
      <w:r>
        <w:rPr>
          <w:rFonts w:hint="eastAsia"/>
          <w:sz w:val="21"/>
          <w:szCs w:val="21"/>
          <w:highlight w:val="none"/>
        </w:rPr>
        <w:t>按设备说明书中规定的常规工作程序操作设备，模拟相应的使用状态或使用条件，检验其各项功能，</w:t>
      </w:r>
      <w:r>
        <w:rPr>
          <w:rFonts w:hint="eastAsia" w:ascii="黑体" w:hAnsi="黑体"/>
          <w:sz w:val="21"/>
          <w:szCs w:val="21"/>
          <w:highlight w:val="none"/>
        </w:rPr>
        <w:t>应符合4</w:t>
      </w:r>
      <w:r>
        <w:rPr>
          <w:rFonts w:ascii="黑体" w:hAnsi="黑体"/>
          <w:sz w:val="21"/>
          <w:szCs w:val="21"/>
          <w:highlight w:val="none"/>
        </w:rPr>
        <w:t>.</w:t>
      </w:r>
      <w:r>
        <w:rPr>
          <w:rFonts w:hint="eastAsia" w:ascii="黑体" w:hAnsi="黑体"/>
          <w:sz w:val="21"/>
          <w:szCs w:val="21"/>
          <w:highlight w:val="none"/>
        </w:rPr>
        <w:t>3的要求</w:t>
      </w:r>
    </w:p>
    <w:p w14:paraId="4FAA6C97">
      <w:pPr>
        <w:tabs>
          <w:tab w:val="center" w:pos="4153"/>
          <w:tab w:val="right" w:pos="8306"/>
        </w:tabs>
        <w:snapToGrid w:val="0"/>
        <w:spacing w:before="156" w:beforeLines="50" w:after="156" w:afterLines="50"/>
        <w:ind w:left="720" w:hanging="720"/>
        <w:jc w:val="left"/>
        <w:outlineLvl w:val="1"/>
        <w:rPr>
          <w:rFonts w:hint="eastAsia" w:ascii="黑体" w:hAnsi="黑体" w:eastAsia="黑体"/>
          <w:bCs/>
          <w:highlight w:val="none"/>
        </w:rPr>
      </w:pPr>
      <w:bookmarkStart w:id="106" w:name="_Hlk196747771"/>
      <w:r>
        <w:rPr>
          <w:rFonts w:ascii="黑体" w:hAnsi="黑体" w:eastAsia="黑体"/>
          <w:bCs/>
          <w:highlight w:val="none"/>
        </w:rPr>
        <w:t>5.</w:t>
      </w:r>
      <w:r>
        <w:rPr>
          <w:rFonts w:hint="eastAsia" w:ascii="黑体" w:hAnsi="黑体" w:eastAsia="黑体"/>
          <w:bCs/>
          <w:highlight w:val="none"/>
        </w:rPr>
        <w:t>4 导管性能</w:t>
      </w:r>
    </w:p>
    <w:bookmarkEnd w:id="106"/>
    <w:p w14:paraId="1C682CA0">
      <w:pPr>
        <w:pStyle w:val="55"/>
        <w:numPr>
          <w:ilvl w:val="0"/>
          <w:numId w:val="0"/>
        </w:numPr>
        <w:spacing w:before="156" w:beforeLines="50" w:after="156" w:afterLines="50"/>
        <w:outlineLvl w:val="1"/>
        <w:rPr>
          <w:rFonts w:hint="eastAsia" w:ascii="黑体" w:hAnsi="黑体"/>
          <w:highlight w:val="none"/>
        </w:rPr>
      </w:pPr>
      <w:bookmarkStart w:id="107" w:name="_Hlk196747885"/>
      <w:r>
        <w:rPr>
          <w:rFonts w:hint="eastAsia" w:ascii="黑体" w:hAnsi="黑体"/>
          <w:highlight w:val="none"/>
        </w:rPr>
        <w:t>5.4.1 外表面</w:t>
      </w:r>
    </w:p>
    <w:bookmarkEnd w:id="107"/>
    <w:p w14:paraId="6384A900">
      <w:pPr>
        <w:pStyle w:val="20"/>
        <w:ind w:firstLine="420" w:firstLineChars="200"/>
        <w:jc w:val="both"/>
        <w:rPr>
          <w:sz w:val="21"/>
          <w:szCs w:val="21"/>
          <w:highlight w:val="none"/>
        </w:rPr>
      </w:pPr>
      <w:r>
        <w:rPr>
          <w:rFonts w:hint="eastAsia"/>
          <w:sz w:val="21"/>
          <w:szCs w:val="21"/>
          <w:highlight w:val="none"/>
        </w:rPr>
        <w:t>目测检查来验证符合性。</w:t>
      </w:r>
    </w:p>
    <w:p w14:paraId="73544BA6">
      <w:pPr>
        <w:pStyle w:val="55"/>
        <w:numPr>
          <w:ilvl w:val="0"/>
          <w:numId w:val="0"/>
        </w:numPr>
        <w:spacing w:before="156" w:beforeLines="50" w:after="156" w:afterLines="50"/>
        <w:ind w:left="720" w:hanging="720"/>
        <w:outlineLvl w:val="1"/>
        <w:rPr>
          <w:rFonts w:hint="eastAsia" w:ascii="黑体" w:hAnsi="黑体"/>
          <w:highlight w:val="none"/>
        </w:rPr>
      </w:pPr>
      <w:bookmarkStart w:id="108" w:name="_Hlk196747903"/>
      <w:r>
        <w:rPr>
          <w:rFonts w:hint="eastAsia" w:ascii="黑体" w:hAnsi="黑体"/>
          <w:highlight w:val="none"/>
        </w:rPr>
        <w:t>5.4.2 耐腐蚀性</w:t>
      </w:r>
    </w:p>
    <w:bookmarkEnd w:id="108"/>
    <w:p w14:paraId="1C0C804B">
      <w:pPr>
        <w:pStyle w:val="20"/>
        <w:spacing w:before="156" w:beforeLines="50" w:after="156" w:afterLines="50"/>
        <w:ind w:left="409" w:leftChars="195" w:firstLine="420" w:firstLineChars="200"/>
        <w:jc w:val="both"/>
        <w:outlineLvl w:val="1"/>
        <w:rPr>
          <w:highlight w:val="none"/>
        </w:rPr>
      </w:pPr>
      <w:r>
        <w:rPr>
          <w:rFonts w:hint="eastAsia"/>
          <w:sz w:val="21"/>
          <w:szCs w:val="21"/>
          <w:highlight w:val="none"/>
        </w:rPr>
        <w:t>检验液采用</w:t>
      </w:r>
      <w:bookmarkStart w:id="109" w:name="_Hlk196747919"/>
      <w:r>
        <w:rPr>
          <w:sz w:val="21"/>
          <w:szCs w:val="21"/>
          <w:highlight w:val="none"/>
        </w:rPr>
        <w:t>GB/T 14233.1-2022</w:t>
      </w:r>
      <w:bookmarkEnd w:id="109"/>
      <w:r>
        <w:rPr>
          <w:rFonts w:hint="eastAsia"/>
          <w:sz w:val="21"/>
          <w:szCs w:val="21"/>
          <w:highlight w:val="none"/>
        </w:rPr>
        <w:t>表1中序号2的方法配备，按照YY 0285.1-2017中附录A的方法进行试验，结果应符合4.4.2的要求。</w:t>
      </w:r>
    </w:p>
    <w:p w14:paraId="1A5413CD">
      <w:pPr>
        <w:pStyle w:val="55"/>
        <w:numPr>
          <w:ilvl w:val="0"/>
          <w:numId w:val="0"/>
        </w:numPr>
        <w:spacing w:before="156" w:beforeLines="50" w:after="156" w:afterLines="50"/>
        <w:ind w:left="720" w:hanging="720"/>
        <w:outlineLvl w:val="1"/>
        <w:rPr>
          <w:rFonts w:hint="eastAsia" w:ascii="黑体" w:hAnsi="黑体"/>
          <w:highlight w:val="none"/>
        </w:rPr>
      </w:pPr>
      <w:r>
        <w:rPr>
          <w:rFonts w:hint="eastAsia" w:ascii="黑体" w:hAnsi="黑体"/>
          <w:highlight w:val="none"/>
        </w:rPr>
        <w:t>5.4.3峰值拉力</w:t>
      </w:r>
    </w:p>
    <w:p w14:paraId="26884D41">
      <w:pPr>
        <w:pStyle w:val="20"/>
        <w:ind w:firstLine="420" w:firstLineChars="200"/>
        <w:jc w:val="both"/>
        <w:rPr>
          <w:sz w:val="21"/>
          <w:szCs w:val="21"/>
          <w:highlight w:val="none"/>
        </w:rPr>
      </w:pPr>
      <w:r>
        <w:rPr>
          <w:rFonts w:hint="eastAsia"/>
          <w:sz w:val="21"/>
          <w:szCs w:val="21"/>
          <w:highlight w:val="none"/>
        </w:rPr>
        <w:t>按照YY 0285.1-2017中附录B的方法进行试验</w:t>
      </w:r>
      <w:bookmarkStart w:id="110" w:name="OLE_LINK9"/>
      <w:r>
        <w:rPr>
          <w:rFonts w:hint="eastAsia"/>
          <w:sz w:val="21"/>
          <w:szCs w:val="21"/>
          <w:highlight w:val="none"/>
        </w:rPr>
        <w:t>，结果应符合4.4.3的要求</w:t>
      </w:r>
      <w:bookmarkEnd w:id="110"/>
      <w:r>
        <w:rPr>
          <w:sz w:val="21"/>
          <w:szCs w:val="21"/>
          <w:highlight w:val="none"/>
        </w:rPr>
        <w:t>。</w:t>
      </w:r>
    </w:p>
    <w:p w14:paraId="56088FC7">
      <w:pPr>
        <w:pStyle w:val="55"/>
        <w:numPr>
          <w:ilvl w:val="0"/>
          <w:numId w:val="0"/>
        </w:numPr>
        <w:spacing w:before="156" w:beforeLines="50" w:after="156" w:afterLines="50"/>
        <w:ind w:left="720" w:hanging="720"/>
        <w:outlineLvl w:val="1"/>
        <w:rPr>
          <w:highlight w:val="none"/>
        </w:rPr>
      </w:pPr>
      <w:r>
        <w:rPr>
          <w:rFonts w:hint="eastAsia" w:ascii="黑体" w:hAnsi="黑体"/>
          <w:highlight w:val="none"/>
        </w:rPr>
        <w:t>5.4.4 无泄漏</w:t>
      </w:r>
    </w:p>
    <w:p w14:paraId="2180A4FB">
      <w:pPr>
        <w:pStyle w:val="20"/>
        <w:jc w:val="both"/>
        <w:rPr>
          <w:rFonts w:ascii="黑体" w:hAnsi="黑体"/>
          <w:sz w:val="21"/>
          <w:szCs w:val="21"/>
          <w:highlight w:val="none"/>
        </w:rPr>
      </w:pPr>
      <w:r>
        <w:rPr>
          <w:rFonts w:hint="eastAsia" w:ascii="黑体" w:hAnsi="黑体" w:eastAsia="宋体"/>
          <w:bCs w:val="0"/>
          <w:sz w:val="21"/>
          <w:szCs w:val="21"/>
          <w:highlight w:val="none"/>
        </w:rPr>
        <w:t>5.4.</w:t>
      </w:r>
      <w:r>
        <w:rPr>
          <w:rFonts w:hint="eastAsia" w:ascii="黑体" w:hAnsi="黑体"/>
          <w:sz w:val="21"/>
          <w:szCs w:val="21"/>
          <w:highlight w:val="none"/>
        </w:rPr>
        <w:t>4</w:t>
      </w:r>
      <w:r>
        <w:rPr>
          <w:rFonts w:hint="eastAsia" w:ascii="黑体" w:hAnsi="黑体" w:eastAsia="宋体"/>
          <w:bCs w:val="0"/>
          <w:sz w:val="21"/>
          <w:szCs w:val="21"/>
          <w:highlight w:val="none"/>
        </w:rPr>
        <w:t>.1</w:t>
      </w:r>
      <w:r>
        <w:rPr>
          <w:rFonts w:ascii="黑体" w:hAnsi="黑体"/>
          <w:sz w:val="21"/>
          <w:szCs w:val="21"/>
          <w:highlight w:val="none"/>
        </w:rPr>
        <w:t xml:space="preserve"> </w:t>
      </w:r>
      <w:r>
        <w:rPr>
          <w:rFonts w:hint="eastAsia" w:ascii="黑体" w:hAnsi="黑体"/>
          <w:sz w:val="21"/>
          <w:szCs w:val="21"/>
          <w:highlight w:val="none"/>
        </w:rPr>
        <w:t>按照</w:t>
      </w:r>
      <w:r>
        <w:rPr>
          <w:rFonts w:ascii="黑体" w:hAnsi="黑体"/>
          <w:sz w:val="21"/>
          <w:szCs w:val="21"/>
          <w:highlight w:val="none"/>
        </w:rPr>
        <w:t>YY 0285.1-2017</w:t>
      </w:r>
      <w:r>
        <w:rPr>
          <w:rFonts w:hint="eastAsia" w:ascii="黑体" w:hAnsi="黑体"/>
          <w:sz w:val="21"/>
          <w:szCs w:val="21"/>
          <w:highlight w:val="none"/>
        </w:rPr>
        <w:t>中附录</w:t>
      </w:r>
      <w:r>
        <w:rPr>
          <w:rFonts w:ascii="黑体" w:hAnsi="黑体"/>
          <w:sz w:val="21"/>
          <w:szCs w:val="21"/>
          <w:highlight w:val="none"/>
        </w:rPr>
        <w:t>C</w:t>
      </w:r>
      <w:r>
        <w:rPr>
          <w:rFonts w:hint="eastAsia" w:ascii="黑体" w:hAnsi="黑体"/>
          <w:sz w:val="21"/>
          <w:szCs w:val="21"/>
          <w:highlight w:val="none"/>
        </w:rPr>
        <w:t>的方法进行试验，结果</w:t>
      </w:r>
      <w:bookmarkStart w:id="111" w:name="OLE_LINK10"/>
      <w:r>
        <w:rPr>
          <w:rFonts w:hint="eastAsia" w:ascii="黑体" w:hAnsi="黑体"/>
          <w:sz w:val="21"/>
          <w:szCs w:val="21"/>
          <w:highlight w:val="none"/>
        </w:rPr>
        <w:t>应符合</w:t>
      </w:r>
      <w:r>
        <w:rPr>
          <w:rFonts w:ascii="黑体" w:hAnsi="黑体"/>
          <w:sz w:val="21"/>
          <w:szCs w:val="21"/>
          <w:highlight w:val="none"/>
        </w:rPr>
        <w:t>4.</w:t>
      </w:r>
      <w:r>
        <w:rPr>
          <w:rFonts w:hint="eastAsia" w:ascii="黑体" w:hAnsi="黑体"/>
          <w:sz w:val="21"/>
          <w:szCs w:val="21"/>
          <w:highlight w:val="none"/>
        </w:rPr>
        <w:t>4</w:t>
      </w:r>
      <w:r>
        <w:rPr>
          <w:rFonts w:ascii="黑体" w:hAnsi="黑体"/>
          <w:sz w:val="21"/>
          <w:szCs w:val="21"/>
          <w:highlight w:val="none"/>
        </w:rPr>
        <w:t>.</w:t>
      </w:r>
      <w:r>
        <w:rPr>
          <w:rFonts w:hint="eastAsia" w:ascii="黑体" w:hAnsi="黑体"/>
          <w:sz w:val="21"/>
          <w:szCs w:val="21"/>
          <w:highlight w:val="none"/>
        </w:rPr>
        <w:t>4</w:t>
      </w:r>
      <w:r>
        <w:rPr>
          <w:rFonts w:ascii="黑体" w:hAnsi="黑体"/>
          <w:sz w:val="21"/>
          <w:szCs w:val="21"/>
          <w:highlight w:val="none"/>
        </w:rPr>
        <w:t>.1</w:t>
      </w:r>
      <w:r>
        <w:rPr>
          <w:rFonts w:hint="eastAsia" w:ascii="黑体" w:hAnsi="黑体"/>
          <w:sz w:val="21"/>
          <w:szCs w:val="21"/>
          <w:highlight w:val="none"/>
        </w:rPr>
        <w:t>的要求</w:t>
      </w:r>
      <w:bookmarkEnd w:id="111"/>
      <w:r>
        <w:rPr>
          <w:rFonts w:hint="eastAsia" w:ascii="黑体" w:hAnsi="黑体"/>
          <w:sz w:val="21"/>
          <w:szCs w:val="21"/>
          <w:highlight w:val="none"/>
        </w:rPr>
        <w:t>。</w:t>
      </w:r>
    </w:p>
    <w:p w14:paraId="5F45E2EF">
      <w:pPr>
        <w:pStyle w:val="20"/>
        <w:jc w:val="both"/>
        <w:rPr>
          <w:rFonts w:ascii="黑体" w:hAnsi="黑体"/>
          <w:sz w:val="21"/>
          <w:szCs w:val="21"/>
          <w:highlight w:val="none"/>
        </w:rPr>
      </w:pPr>
      <w:r>
        <w:rPr>
          <w:rFonts w:hint="eastAsia" w:ascii="黑体" w:hAnsi="黑体" w:eastAsia="宋体"/>
          <w:bCs w:val="0"/>
          <w:sz w:val="21"/>
          <w:szCs w:val="21"/>
          <w:highlight w:val="none"/>
        </w:rPr>
        <w:t>5.4.</w:t>
      </w:r>
      <w:r>
        <w:rPr>
          <w:rFonts w:hint="eastAsia" w:ascii="黑体" w:hAnsi="黑体"/>
          <w:sz w:val="21"/>
          <w:szCs w:val="21"/>
          <w:highlight w:val="none"/>
        </w:rPr>
        <w:t>4</w:t>
      </w:r>
      <w:r>
        <w:rPr>
          <w:rFonts w:hint="eastAsia" w:ascii="黑体" w:hAnsi="黑体" w:eastAsia="宋体"/>
          <w:bCs w:val="0"/>
          <w:sz w:val="21"/>
          <w:szCs w:val="21"/>
          <w:highlight w:val="none"/>
        </w:rPr>
        <w:t>.2</w:t>
      </w:r>
      <w:r>
        <w:rPr>
          <w:rFonts w:ascii="黑体" w:hAnsi="黑体"/>
          <w:sz w:val="21"/>
          <w:szCs w:val="21"/>
          <w:highlight w:val="none"/>
        </w:rPr>
        <w:t xml:space="preserve"> </w:t>
      </w:r>
      <w:r>
        <w:rPr>
          <w:rFonts w:hint="eastAsia" w:ascii="黑体" w:hAnsi="黑体"/>
          <w:sz w:val="21"/>
          <w:szCs w:val="21"/>
          <w:highlight w:val="none"/>
        </w:rPr>
        <w:t>按照</w:t>
      </w:r>
      <w:r>
        <w:rPr>
          <w:rFonts w:ascii="黑体" w:hAnsi="黑体"/>
          <w:sz w:val="21"/>
          <w:szCs w:val="21"/>
          <w:highlight w:val="none"/>
        </w:rPr>
        <w:t>YY 0285.1-2017</w:t>
      </w:r>
      <w:r>
        <w:rPr>
          <w:rFonts w:hint="eastAsia" w:ascii="黑体" w:hAnsi="黑体"/>
          <w:sz w:val="21"/>
          <w:szCs w:val="21"/>
          <w:highlight w:val="none"/>
        </w:rPr>
        <w:t>中附录</w:t>
      </w:r>
      <w:r>
        <w:rPr>
          <w:rFonts w:ascii="黑体" w:hAnsi="黑体"/>
          <w:sz w:val="21"/>
          <w:szCs w:val="21"/>
          <w:highlight w:val="none"/>
        </w:rPr>
        <w:t>D</w:t>
      </w:r>
      <w:r>
        <w:rPr>
          <w:rFonts w:hint="eastAsia" w:ascii="黑体" w:hAnsi="黑体"/>
          <w:sz w:val="21"/>
          <w:szCs w:val="21"/>
          <w:highlight w:val="none"/>
        </w:rPr>
        <w:t>的方法进行试验，结果应符合</w:t>
      </w:r>
      <w:r>
        <w:rPr>
          <w:rFonts w:ascii="黑体" w:hAnsi="黑体"/>
          <w:sz w:val="21"/>
          <w:szCs w:val="21"/>
          <w:highlight w:val="none"/>
        </w:rPr>
        <w:t>4.</w:t>
      </w:r>
      <w:r>
        <w:rPr>
          <w:rFonts w:hint="eastAsia" w:ascii="黑体" w:hAnsi="黑体"/>
          <w:sz w:val="21"/>
          <w:szCs w:val="21"/>
          <w:highlight w:val="none"/>
        </w:rPr>
        <w:t>4</w:t>
      </w:r>
      <w:r>
        <w:rPr>
          <w:rFonts w:ascii="黑体" w:hAnsi="黑体"/>
          <w:sz w:val="21"/>
          <w:szCs w:val="21"/>
          <w:highlight w:val="none"/>
        </w:rPr>
        <w:t>.</w:t>
      </w:r>
      <w:r>
        <w:rPr>
          <w:rFonts w:hint="eastAsia" w:ascii="黑体" w:hAnsi="黑体"/>
          <w:sz w:val="21"/>
          <w:szCs w:val="21"/>
          <w:highlight w:val="none"/>
        </w:rPr>
        <w:t>4</w:t>
      </w:r>
      <w:r>
        <w:rPr>
          <w:rFonts w:ascii="黑体" w:hAnsi="黑体"/>
          <w:sz w:val="21"/>
          <w:szCs w:val="21"/>
          <w:highlight w:val="none"/>
        </w:rPr>
        <w:t>.2</w:t>
      </w:r>
      <w:r>
        <w:rPr>
          <w:rFonts w:hint="eastAsia" w:ascii="黑体" w:hAnsi="黑体"/>
          <w:sz w:val="21"/>
          <w:szCs w:val="21"/>
          <w:highlight w:val="none"/>
        </w:rPr>
        <w:t>的要求。</w:t>
      </w:r>
    </w:p>
    <w:p w14:paraId="171FDC0B">
      <w:pPr>
        <w:pStyle w:val="55"/>
        <w:numPr>
          <w:ilvl w:val="0"/>
          <w:numId w:val="0"/>
        </w:numPr>
        <w:spacing w:before="156" w:beforeLines="50" w:after="156" w:afterLines="50"/>
        <w:ind w:left="720" w:hanging="720"/>
        <w:outlineLvl w:val="1"/>
        <w:rPr>
          <w:rFonts w:hint="eastAsia" w:ascii="黑体" w:hAnsi="黑体"/>
          <w:highlight w:val="none"/>
        </w:rPr>
      </w:pPr>
      <w:r>
        <w:rPr>
          <w:rFonts w:hint="eastAsia" w:ascii="黑体" w:hAnsi="黑体"/>
          <w:highlight w:val="none"/>
        </w:rPr>
        <w:t>5.4.5 座</w:t>
      </w:r>
    </w:p>
    <w:p w14:paraId="3C495715">
      <w:pPr>
        <w:pStyle w:val="20"/>
        <w:ind w:firstLine="420" w:firstLineChars="200"/>
        <w:jc w:val="both"/>
        <w:rPr>
          <w:sz w:val="21"/>
          <w:szCs w:val="21"/>
          <w:highlight w:val="none"/>
        </w:rPr>
      </w:pPr>
      <w:r>
        <w:rPr>
          <w:rFonts w:hint="eastAsia"/>
          <w:sz w:val="21"/>
          <w:szCs w:val="21"/>
          <w:highlight w:val="none"/>
        </w:rPr>
        <w:t>按照</w:t>
      </w:r>
      <w:r>
        <w:rPr>
          <w:sz w:val="21"/>
          <w:szCs w:val="21"/>
          <w:highlight w:val="none"/>
        </w:rPr>
        <w:t>GB/T1962.2</w:t>
      </w:r>
      <w:r>
        <w:rPr>
          <w:rFonts w:hint="eastAsia"/>
          <w:sz w:val="21"/>
          <w:szCs w:val="21"/>
          <w:highlight w:val="none"/>
        </w:rPr>
        <w:t>-2001规定的试验方法进行，应符合4.4.5的</w:t>
      </w:r>
      <w:r>
        <w:rPr>
          <w:sz w:val="21"/>
          <w:szCs w:val="21"/>
          <w:highlight w:val="none"/>
        </w:rPr>
        <w:t>要求。</w:t>
      </w:r>
    </w:p>
    <w:p w14:paraId="649E863C">
      <w:pPr>
        <w:pStyle w:val="55"/>
        <w:numPr>
          <w:ilvl w:val="0"/>
          <w:numId w:val="0"/>
        </w:numPr>
        <w:spacing w:before="156" w:beforeLines="50" w:after="156" w:afterLines="50"/>
        <w:ind w:left="720" w:hanging="720"/>
        <w:outlineLvl w:val="1"/>
        <w:rPr>
          <w:highlight w:val="none"/>
        </w:rPr>
      </w:pPr>
      <w:bookmarkStart w:id="112" w:name="_Hlk196747951"/>
      <w:r>
        <w:rPr>
          <w:rFonts w:hint="eastAsia" w:ascii="黑体" w:hAnsi="黑体"/>
          <w:highlight w:val="none"/>
        </w:rPr>
        <w:t>5.4.6 末端头端</w:t>
      </w:r>
    </w:p>
    <w:bookmarkEnd w:id="112"/>
    <w:p w14:paraId="3090A22F">
      <w:pPr>
        <w:pStyle w:val="20"/>
        <w:ind w:firstLine="420" w:firstLineChars="200"/>
        <w:jc w:val="both"/>
        <w:rPr>
          <w:sz w:val="21"/>
          <w:szCs w:val="21"/>
          <w:highlight w:val="none"/>
        </w:rPr>
      </w:pPr>
      <w:r>
        <w:rPr>
          <w:rFonts w:hint="eastAsia"/>
          <w:sz w:val="21"/>
          <w:szCs w:val="21"/>
          <w:highlight w:val="none"/>
        </w:rPr>
        <w:t>目测检查末端头端的构型，应符合4.4.6的要求。</w:t>
      </w:r>
    </w:p>
    <w:p w14:paraId="37AABE9D">
      <w:pPr>
        <w:pStyle w:val="55"/>
        <w:numPr>
          <w:ilvl w:val="0"/>
          <w:numId w:val="0"/>
        </w:numPr>
        <w:spacing w:before="156" w:beforeLines="50" w:after="156" w:afterLines="50"/>
        <w:ind w:left="720" w:hanging="720"/>
        <w:outlineLvl w:val="1"/>
        <w:rPr>
          <w:highlight w:val="none"/>
        </w:rPr>
      </w:pPr>
      <w:r>
        <w:rPr>
          <w:rFonts w:hint="eastAsia" w:ascii="黑体" w:hAnsi="黑体"/>
          <w:highlight w:val="none"/>
        </w:rPr>
        <w:t>5.4.7</w:t>
      </w:r>
      <w:r>
        <w:rPr>
          <w:highlight w:val="none"/>
        </w:rPr>
        <w:t xml:space="preserve"> 球囊额定爆破压(RBP)</w:t>
      </w:r>
    </w:p>
    <w:p w14:paraId="2C5F6933">
      <w:pPr>
        <w:pStyle w:val="20"/>
        <w:ind w:firstLine="420" w:firstLineChars="200"/>
        <w:jc w:val="both"/>
        <w:rPr>
          <w:sz w:val="21"/>
          <w:szCs w:val="21"/>
          <w:highlight w:val="none"/>
        </w:rPr>
      </w:pPr>
      <w:r>
        <w:rPr>
          <w:rFonts w:hint="eastAsia"/>
          <w:sz w:val="21"/>
          <w:szCs w:val="21"/>
          <w:highlight w:val="none"/>
        </w:rPr>
        <w:t>按照YY 0285.4-2017中附录A的方法进行试验，结果应符合4.4.7的要求</w:t>
      </w:r>
      <w:r>
        <w:rPr>
          <w:sz w:val="21"/>
          <w:szCs w:val="21"/>
          <w:highlight w:val="none"/>
        </w:rPr>
        <w:t>。</w:t>
      </w:r>
    </w:p>
    <w:p w14:paraId="63538D09">
      <w:pPr>
        <w:pStyle w:val="55"/>
        <w:numPr>
          <w:ilvl w:val="0"/>
          <w:numId w:val="0"/>
        </w:numPr>
        <w:spacing w:before="156" w:beforeLines="50" w:after="156" w:afterLines="50"/>
        <w:ind w:left="720" w:hanging="720"/>
        <w:outlineLvl w:val="1"/>
        <w:rPr>
          <w:rFonts w:hint="eastAsia" w:ascii="黑体" w:hAnsi="黑体"/>
          <w:highlight w:val="none"/>
        </w:rPr>
      </w:pPr>
      <w:r>
        <w:rPr>
          <w:rFonts w:hint="eastAsia" w:ascii="黑体" w:hAnsi="黑体"/>
          <w:highlight w:val="none"/>
        </w:rPr>
        <w:t>5.4.8 球囊疲劳;充起时无泄漏和损坏</w:t>
      </w:r>
    </w:p>
    <w:p w14:paraId="1756855D">
      <w:pPr>
        <w:pStyle w:val="20"/>
        <w:ind w:firstLine="420" w:firstLineChars="200"/>
        <w:jc w:val="both"/>
        <w:rPr>
          <w:sz w:val="21"/>
          <w:szCs w:val="21"/>
          <w:highlight w:val="none"/>
        </w:rPr>
      </w:pPr>
      <w:r>
        <w:rPr>
          <w:rFonts w:hint="eastAsia"/>
          <w:sz w:val="21"/>
          <w:szCs w:val="21"/>
          <w:highlight w:val="none"/>
        </w:rPr>
        <w:t>按照YY 0285.4-2017中附录B的方法进行试验，结果应符合4.4.8的要求</w:t>
      </w:r>
      <w:r>
        <w:rPr>
          <w:sz w:val="21"/>
          <w:szCs w:val="21"/>
          <w:highlight w:val="none"/>
        </w:rPr>
        <w:t>。</w:t>
      </w:r>
    </w:p>
    <w:p w14:paraId="6D46F442">
      <w:pPr>
        <w:pStyle w:val="55"/>
        <w:numPr>
          <w:ilvl w:val="0"/>
          <w:numId w:val="0"/>
        </w:numPr>
        <w:spacing w:before="156" w:beforeLines="50" w:after="156" w:afterLines="50"/>
        <w:ind w:left="720" w:hanging="720"/>
        <w:outlineLvl w:val="1"/>
        <w:rPr>
          <w:rFonts w:eastAsia="宋体"/>
          <w:bCs w:val="0"/>
          <w:highlight w:val="none"/>
        </w:rPr>
      </w:pPr>
      <w:r>
        <w:rPr>
          <w:rFonts w:hint="eastAsia" w:ascii="黑体" w:hAnsi="黑体"/>
          <w:highlight w:val="none"/>
        </w:rPr>
        <w:t>5.4.9 球囊卸压时间</w:t>
      </w:r>
    </w:p>
    <w:p w14:paraId="56158003">
      <w:pPr>
        <w:pStyle w:val="20"/>
        <w:ind w:firstLine="420" w:firstLineChars="200"/>
        <w:jc w:val="both"/>
        <w:rPr>
          <w:sz w:val="21"/>
          <w:szCs w:val="21"/>
          <w:highlight w:val="none"/>
        </w:rPr>
      </w:pPr>
      <w:r>
        <w:rPr>
          <w:rFonts w:hint="eastAsia"/>
          <w:sz w:val="21"/>
          <w:szCs w:val="21"/>
          <w:highlight w:val="none"/>
        </w:rPr>
        <w:t>按照YY 0285.4-2017中附录C的方法进行试验，结果应符合4.4.9的要求</w:t>
      </w:r>
      <w:r>
        <w:rPr>
          <w:sz w:val="21"/>
          <w:szCs w:val="21"/>
          <w:highlight w:val="none"/>
        </w:rPr>
        <w:t>。</w:t>
      </w:r>
    </w:p>
    <w:p w14:paraId="16825F6F">
      <w:pPr>
        <w:pStyle w:val="55"/>
        <w:numPr>
          <w:ilvl w:val="0"/>
          <w:numId w:val="0"/>
        </w:numPr>
        <w:spacing w:before="156" w:beforeLines="50" w:after="156" w:afterLines="50"/>
        <w:ind w:left="720" w:hanging="720"/>
        <w:outlineLvl w:val="1"/>
        <w:rPr>
          <w:rFonts w:hint="eastAsia" w:ascii="黑体" w:hAnsi="黑体"/>
          <w:highlight w:val="none"/>
        </w:rPr>
      </w:pPr>
      <w:r>
        <w:rPr>
          <w:rFonts w:hint="eastAsia" w:ascii="黑体" w:hAnsi="黑体"/>
          <w:highlight w:val="none"/>
        </w:rPr>
        <w:t>5.4.10</w:t>
      </w:r>
    </w:p>
    <w:p w14:paraId="11DCCCA2">
      <w:pPr>
        <w:pStyle w:val="55"/>
        <w:numPr>
          <w:ilvl w:val="0"/>
          <w:numId w:val="0"/>
        </w:numPr>
        <w:spacing w:before="156" w:beforeLines="50" w:after="156" w:afterLines="50"/>
        <w:ind w:left="720" w:hanging="720"/>
        <w:outlineLvl w:val="1"/>
        <w:rPr>
          <w:rFonts w:eastAsia="宋体"/>
          <w:bCs w:val="0"/>
          <w:highlight w:val="none"/>
        </w:rPr>
      </w:pPr>
      <w:r>
        <w:rPr>
          <w:rFonts w:hint="eastAsia" w:ascii="黑体" w:hAnsi="黑体"/>
          <w:highlight w:val="none"/>
        </w:rPr>
        <w:t xml:space="preserve"> 球囊直径与充盈压力的关系</w:t>
      </w:r>
    </w:p>
    <w:p w14:paraId="5EA318A6">
      <w:pPr>
        <w:pStyle w:val="20"/>
        <w:ind w:firstLine="420" w:firstLineChars="200"/>
        <w:jc w:val="both"/>
        <w:rPr>
          <w:sz w:val="21"/>
          <w:szCs w:val="21"/>
          <w:highlight w:val="none"/>
        </w:rPr>
      </w:pPr>
      <w:r>
        <w:rPr>
          <w:rFonts w:hint="eastAsia"/>
          <w:sz w:val="21"/>
          <w:szCs w:val="21"/>
          <w:highlight w:val="none"/>
        </w:rPr>
        <w:t>按照YY 0285.4-2017中附录D的方法进行试验，结果应符合4.4.10的要求。</w:t>
      </w:r>
    </w:p>
    <w:p w14:paraId="57F24A5F">
      <w:pPr>
        <w:pStyle w:val="55"/>
        <w:numPr>
          <w:ilvl w:val="0"/>
          <w:numId w:val="0"/>
        </w:numPr>
        <w:spacing w:before="156" w:beforeLines="50" w:after="156" w:afterLines="50" w:line="276" w:lineRule="auto"/>
        <w:ind w:left="720" w:hanging="720"/>
        <w:outlineLvl w:val="1"/>
        <w:rPr>
          <w:rFonts w:hint="eastAsia" w:ascii="黑体" w:hAnsi="黑体"/>
          <w:highlight w:val="none"/>
        </w:rPr>
      </w:pPr>
      <w:bookmarkStart w:id="113" w:name="_Hlk196747982"/>
      <w:r>
        <w:rPr>
          <w:rFonts w:ascii="黑体" w:hAnsi="黑体"/>
          <w:highlight w:val="none"/>
        </w:rPr>
        <w:t>5.4.</w:t>
      </w:r>
      <w:r>
        <w:rPr>
          <w:rFonts w:hint="eastAsia" w:ascii="黑体" w:hAnsi="黑体"/>
          <w:highlight w:val="none"/>
        </w:rPr>
        <w:t>11</w:t>
      </w:r>
      <w:r>
        <w:rPr>
          <w:rFonts w:ascii="黑体" w:hAnsi="黑体"/>
          <w:highlight w:val="none"/>
        </w:rPr>
        <w:t xml:space="preserve"> </w:t>
      </w:r>
      <w:r>
        <w:rPr>
          <w:rFonts w:hint="eastAsia" w:ascii="黑体" w:hAnsi="黑体"/>
          <w:highlight w:val="none"/>
        </w:rPr>
        <w:t>正峰值声压</w:t>
      </w:r>
    </w:p>
    <w:bookmarkEnd w:id="113"/>
    <w:p w14:paraId="051BF67B">
      <w:pPr>
        <w:pStyle w:val="20"/>
        <w:ind w:firstLine="420" w:firstLineChars="200"/>
        <w:jc w:val="left"/>
        <w:rPr>
          <w:sz w:val="21"/>
          <w:szCs w:val="21"/>
          <w:highlight w:val="none"/>
        </w:rPr>
      </w:pPr>
      <w:r>
        <w:rPr>
          <w:rFonts w:hint="eastAsia"/>
          <w:sz w:val="21"/>
          <w:szCs w:val="21"/>
          <w:highlight w:val="none"/>
        </w:rPr>
        <w:t>将配合使用的冲击波导管与设备连接，将导管放入测量水槽中并用水听器进行测试。测量水槽宜采用 20℃到 40℃的除气水或蒸馏水。水听器测量位置和导管冲击波发生腔应远离水槽边界，并且应在水面下至少1cm。</w:t>
      </w:r>
    </w:p>
    <w:p w14:paraId="1CCB899A">
      <w:pPr>
        <w:pStyle w:val="20"/>
        <w:ind w:firstLine="420" w:firstLineChars="200"/>
        <w:jc w:val="left"/>
        <w:rPr>
          <w:sz w:val="21"/>
          <w:szCs w:val="21"/>
          <w:highlight w:val="none"/>
        </w:rPr>
      </w:pPr>
      <w:r>
        <w:rPr>
          <w:rFonts w:hint="eastAsia"/>
          <w:sz w:val="21"/>
          <w:szCs w:val="21"/>
          <w:highlight w:val="none"/>
        </w:rPr>
        <w:t>按照制造商规定的液体和压力充盈冲击波发生腔，使用坐标定位系统调节水听器位置，将水听器分别正对导管的</w:t>
      </w:r>
      <w:r>
        <w:rPr>
          <w:sz w:val="21"/>
          <w:szCs w:val="21"/>
          <w:highlight w:val="none"/>
        </w:rPr>
        <w:t>每个电极</w:t>
      </w:r>
      <w:r>
        <w:rPr>
          <w:rFonts w:hint="eastAsia"/>
          <w:sz w:val="21"/>
          <w:szCs w:val="21"/>
          <w:highlight w:val="none"/>
        </w:rPr>
        <w:t>（冲击波发射源），并保证与导管的冲击波发生腔壁方向垂直，调整水听器位置距离冲击波发生腔表面1mm。测试示意图见图2。</w:t>
      </w:r>
    </w:p>
    <w:p w14:paraId="26E1F916">
      <w:pPr>
        <w:pStyle w:val="20"/>
        <w:ind w:firstLine="420" w:firstLineChars="200"/>
        <w:rPr>
          <w:rFonts w:hint="eastAsia"/>
          <w:sz w:val="21"/>
          <w:szCs w:val="21"/>
          <w:highlight w:val="none"/>
        </w:rPr>
      </w:pPr>
      <w:r>
        <w:rPr>
          <w:sz w:val="21"/>
          <w:szCs w:val="21"/>
          <w:highlight w:val="none"/>
        </w:rPr>
        <w:drawing>
          <wp:inline distT="0" distB="0" distL="0" distR="0">
            <wp:extent cx="2691130" cy="2586990"/>
            <wp:effectExtent l="0" t="0" r="0" b="3810"/>
            <wp:docPr id="20755751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5126" name="图片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99537" cy="2595395"/>
                    </a:xfrm>
                    <a:prstGeom prst="rect">
                      <a:avLst/>
                    </a:prstGeom>
                    <a:noFill/>
                  </pic:spPr>
                </pic:pic>
              </a:graphicData>
            </a:graphic>
          </wp:inline>
        </w:drawing>
      </w:r>
    </w:p>
    <w:p w14:paraId="5C6403B5">
      <w:pPr>
        <w:pStyle w:val="62"/>
        <w:numPr>
          <w:ilvl w:val="0"/>
          <w:numId w:val="0"/>
        </w:numPr>
        <w:spacing w:before="240"/>
        <w:ind w:left="720" w:firstLine="420" w:firstLineChars="200"/>
        <w:jc w:val="center"/>
        <w:rPr>
          <w:rFonts w:ascii="黑体" w:hAnsi="黑体" w:eastAsia="黑体"/>
          <w:sz w:val="21"/>
          <w:szCs w:val="21"/>
          <w:highlight w:val="none"/>
        </w:rPr>
      </w:pPr>
      <w:r>
        <w:rPr>
          <w:rFonts w:hint="eastAsia" w:ascii="黑体" w:hAnsi="黑体" w:eastAsia="黑体"/>
          <w:szCs w:val="21"/>
          <w:highlight w:val="none"/>
        </w:rPr>
        <w:t>图2 声压测试示意图</w:t>
      </w:r>
    </w:p>
    <w:p w14:paraId="0FA13DF4">
      <w:pPr>
        <w:pStyle w:val="20"/>
        <w:ind w:firstLine="420" w:firstLineChars="200"/>
        <w:jc w:val="left"/>
        <w:rPr>
          <w:sz w:val="21"/>
          <w:szCs w:val="21"/>
          <w:highlight w:val="none"/>
        </w:rPr>
      </w:pPr>
      <w:r>
        <w:rPr>
          <w:rFonts w:hint="eastAsia"/>
          <w:sz w:val="21"/>
          <w:szCs w:val="21"/>
          <w:highlight w:val="none"/>
        </w:rPr>
        <w:t>之后将上述电极组放电至少3次，并使用水听器实时记录冲击波脉冲数据，记录3次测试的数据，计算设备输出的正峰值声压</w:t>
      </w:r>
      <w:r>
        <w:rPr>
          <w:rFonts w:ascii="Cambria Math" w:hAnsi="Cambria Math"/>
          <w:i/>
          <w:iCs/>
          <w:sz w:val="21"/>
          <w:szCs w:val="21"/>
          <w:highlight w:val="none"/>
        </w:rPr>
        <w:t>p</w:t>
      </w:r>
      <w:r>
        <w:rPr>
          <w:rFonts w:ascii="Cambria Math" w:hAnsi="Cambria Math"/>
          <w:sz w:val="21"/>
          <w:szCs w:val="21"/>
          <w:highlight w:val="none"/>
          <w:vertAlign w:val="subscript"/>
        </w:rPr>
        <w:t>+</w:t>
      </w:r>
      <w:r>
        <w:rPr>
          <w:rFonts w:hint="eastAsia"/>
          <w:sz w:val="21"/>
          <w:szCs w:val="21"/>
          <w:highlight w:val="none"/>
        </w:rPr>
        <w:t>，按照3.6中瞬时声压公式进行计算。3次正峰值声压取平均值，结果应符合4.4.11的要求。</w:t>
      </w:r>
    </w:p>
    <w:p w14:paraId="040F71CF">
      <w:pPr>
        <w:pStyle w:val="20"/>
        <w:ind w:firstLine="360" w:firstLineChars="200"/>
        <w:jc w:val="left"/>
        <w:rPr>
          <w:highlight w:val="none"/>
        </w:rPr>
      </w:pPr>
      <w:r>
        <w:rPr>
          <w:rFonts w:hint="eastAsia" w:ascii="黑体" w:hAnsi="黑体" w:eastAsia="黑体"/>
          <w:bCs/>
          <w:highlight w:val="none"/>
        </w:rPr>
        <w:t>注：</w:t>
      </w:r>
      <w:r>
        <w:rPr>
          <w:rFonts w:hint="eastAsia"/>
          <w:highlight w:val="none"/>
        </w:rPr>
        <w:t>水听器电缆末端有载灵敏度</w:t>
      </w:r>
      <m:oMath>
        <m:sSub>
          <m:sSubPr>
            <m:ctrlPr>
              <w:rPr>
                <w:rFonts w:ascii="Cambria Math" w:hAnsi="Cambria Math" w:eastAsiaTheme="minorEastAsia"/>
                <w:i/>
                <w:sz w:val="21"/>
                <w:szCs w:val="21"/>
                <w:highlight w:val="none"/>
              </w:rPr>
            </m:ctrlPr>
          </m:sSubPr>
          <m:e>
            <m:r>
              <m:rPr/>
              <w:rPr>
                <w:rFonts w:ascii="Cambria Math" w:hAnsi="Cambria Math" w:eastAsiaTheme="minorEastAsia"/>
                <w:sz w:val="21"/>
                <w:szCs w:val="21"/>
                <w:highlight w:val="none"/>
              </w:rPr>
              <m:t>M</m:t>
            </m:r>
            <m:ctrlPr>
              <w:rPr>
                <w:rFonts w:ascii="Cambria Math" w:hAnsi="Cambria Math" w:eastAsiaTheme="minorEastAsia"/>
                <w:i/>
                <w:sz w:val="21"/>
                <w:szCs w:val="21"/>
                <w:highlight w:val="none"/>
              </w:rPr>
            </m:ctrlPr>
          </m:e>
          <m:sub>
            <m:r>
              <m:rPr/>
              <w:rPr>
                <w:rFonts w:ascii="Cambria Math" w:hAnsi="Cambria Math" w:eastAsiaTheme="minorEastAsia"/>
                <w:sz w:val="21"/>
                <w:szCs w:val="21"/>
                <w:highlight w:val="none"/>
              </w:rPr>
              <m:t>L</m:t>
            </m:r>
            <m:ctrlPr>
              <w:rPr>
                <w:rFonts w:ascii="Cambria Math" w:hAnsi="Cambria Math" w:eastAsiaTheme="minorEastAsia"/>
                <w:i/>
                <w:sz w:val="21"/>
                <w:szCs w:val="21"/>
                <w:highlight w:val="none"/>
              </w:rPr>
            </m:ctrlPr>
          </m:sub>
        </m:sSub>
      </m:oMath>
      <w:r>
        <w:rPr>
          <w:rFonts w:hint="eastAsia"/>
          <w:highlight w:val="none"/>
        </w:rPr>
        <w:t>应采用校准数据，单位伏每帕（V/Pa）。频率为</w:t>
      </w:r>
      <w:r>
        <w:rPr>
          <w:highlight w:val="none"/>
        </w:rPr>
        <w:t>T</w:t>
      </w:r>
      <w:r>
        <w:rPr>
          <w:highlight w:val="none"/>
          <w:vertAlign w:val="subscript"/>
        </w:rPr>
        <w:t>T</w:t>
      </w:r>
      <w:r>
        <w:rPr>
          <w:rFonts w:hint="eastAsia"/>
          <w:highlight w:val="none"/>
        </w:rPr>
        <w:t xml:space="preserve">的倒数，测试示意图见图3。 </w:t>
      </w:r>
    </w:p>
    <w:p w14:paraId="6B42663A">
      <w:pPr>
        <w:pStyle w:val="62"/>
        <w:numPr>
          <w:ilvl w:val="0"/>
          <w:numId w:val="0"/>
        </w:numPr>
        <w:spacing w:before="240"/>
        <w:ind w:left="720"/>
        <w:jc w:val="center"/>
        <w:rPr>
          <w:rFonts w:hint="eastAsia" w:ascii="黑体" w:hAnsi="黑体" w:eastAsia="黑体"/>
          <w:szCs w:val="21"/>
          <w:highlight w:val="none"/>
        </w:rPr>
      </w:pPr>
      <w:r>
        <w:rPr>
          <w:highlight w:val="none"/>
        </w:rPr>
        <w:drawing>
          <wp:inline distT="0" distB="0" distL="0" distR="0">
            <wp:extent cx="2363470" cy="2372360"/>
            <wp:effectExtent l="0" t="0" r="0" b="8890"/>
            <wp:docPr id="120949074" name="图片 13" descr="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9074" name="图片 13" descr="直方图&#10;&#10;AI 生成的内容可能不正确。"/>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63470" cy="2372360"/>
                    </a:xfrm>
                    <a:prstGeom prst="rect">
                      <a:avLst/>
                    </a:prstGeom>
                    <a:noFill/>
                    <a:ln>
                      <a:noFill/>
                    </a:ln>
                  </pic:spPr>
                </pic:pic>
              </a:graphicData>
            </a:graphic>
          </wp:inline>
        </w:drawing>
      </w:r>
    </w:p>
    <w:p w14:paraId="6D58B5AE">
      <w:pPr>
        <w:pStyle w:val="62"/>
        <w:numPr>
          <w:ilvl w:val="0"/>
          <w:numId w:val="0"/>
        </w:numPr>
        <w:ind w:left="839" w:hanging="419"/>
        <w:jc w:val="left"/>
        <w:rPr>
          <w:highlight w:val="none"/>
        </w:rPr>
      </w:pPr>
      <w:r>
        <w:rPr>
          <w:rFonts w:hint="eastAsia"/>
          <w:highlight w:val="none"/>
        </w:rPr>
        <w:t>说明：</w:t>
      </w:r>
    </w:p>
    <w:p w14:paraId="7F3EC2BA">
      <w:pPr>
        <w:pStyle w:val="62"/>
        <w:numPr>
          <w:ilvl w:val="0"/>
          <w:numId w:val="0"/>
        </w:numPr>
        <w:spacing w:before="240"/>
        <w:ind w:left="420"/>
        <w:rPr>
          <w:rFonts w:hint="eastAsia" w:ascii="黑体" w:hAnsi="黑体" w:eastAsia="黑体"/>
          <w:szCs w:val="21"/>
          <w:highlight w:val="none"/>
        </w:rPr>
      </w:pPr>
      <w:r>
        <w:rPr>
          <w:rFonts w:ascii="Cambria Math" w:hAnsi="Cambria Math"/>
          <w:i/>
          <w:iCs/>
          <w:szCs w:val="21"/>
          <w:highlight w:val="none"/>
        </w:rPr>
        <w:t>T</w:t>
      </w:r>
      <w:r>
        <w:rPr>
          <w:rFonts w:hint="eastAsia" w:ascii="Cambria Math" w:hAnsi="Cambria Math"/>
          <w:szCs w:val="21"/>
          <w:highlight w:val="none"/>
          <w:vertAlign w:val="subscript"/>
        </w:rPr>
        <w:t>T</w:t>
      </w:r>
      <w:r>
        <w:rPr>
          <w:rFonts w:hint="eastAsia" w:ascii="Cambria Math" w:hAnsi="Cambria Math"/>
          <w:szCs w:val="21"/>
          <w:highlight w:val="none"/>
        </w:rPr>
        <w:t>—</w:t>
      </w:r>
      <w:r>
        <w:rPr>
          <w:rFonts w:hint="eastAsia"/>
          <w:szCs w:val="21"/>
          <w:highlight w:val="none"/>
        </w:rPr>
        <w:t>声压脉冲波形绝对值第一次超过最大值的10%到最后一次降低到最大值的10%之间的时间</w:t>
      </w:r>
      <w:bookmarkStart w:id="114" w:name="OLE_LINK11"/>
      <w:r>
        <w:rPr>
          <w:rFonts w:hint="eastAsia"/>
          <w:szCs w:val="21"/>
          <w:highlight w:val="none"/>
        </w:rPr>
        <w:t>，单位为秒（</w:t>
      </w:r>
      <w:r>
        <w:rPr>
          <w:szCs w:val="21"/>
          <w:highlight w:val="none"/>
        </w:rPr>
        <w:t>s</w:t>
      </w:r>
      <w:r>
        <w:rPr>
          <w:rFonts w:hint="eastAsia"/>
          <w:szCs w:val="21"/>
          <w:highlight w:val="none"/>
        </w:rPr>
        <w:t>）</w:t>
      </w:r>
      <w:bookmarkEnd w:id="114"/>
      <w:r>
        <w:rPr>
          <w:rFonts w:hint="eastAsia"/>
          <w:szCs w:val="21"/>
          <w:highlight w:val="none"/>
        </w:rPr>
        <w:t>。</w:t>
      </w:r>
    </w:p>
    <w:p w14:paraId="6A0DD002">
      <w:pPr>
        <w:pStyle w:val="62"/>
        <w:numPr>
          <w:ilvl w:val="0"/>
          <w:numId w:val="0"/>
        </w:numPr>
        <w:spacing w:before="240"/>
        <w:ind w:left="720" w:firstLine="420" w:firstLineChars="200"/>
        <w:jc w:val="center"/>
        <w:rPr>
          <w:rFonts w:ascii="黑体" w:hAnsi="黑体" w:eastAsia="黑体"/>
          <w:sz w:val="21"/>
          <w:szCs w:val="21"/>
          <w:highlight w:val="none"/>
        </w:rPr>
      </w:pPr>
      <w:r>
        <w:rPr>
          <w:rFonts w:hint="eastAsia" w:ascii="黑体" w:hAnsi="黑体" w:eastAsia="黑体"/>
          <w:szCs w:val="21"/>
          <w:highlight w:val="none"/>
        </w:rPr>
        <w:t>图3 声压脉冲波形示意图</w:t>
      </w:r>
    </w:p>
    <w:p w14:paraId="46AC92A9">
      <w:pPr>
        <w:pStyle w:val="55"/>
        <w:numPr>
          <w:ilvl w:val="0"/>
          <w:numId w:val="0"/>
        </w:numPr>
        <w:spacing w:before="156" w:beforeLines="50" w:after="156" w:afterLines="50"/>
        <w:ind w:left="720" w:hanging="720"/>
        <w:outlineLvl w:val="1"/>
        <w:rPr>
          <w:rFonts w:hint="eastAsia" w:ascii="黑体" w:hAnsi="黑体"/>
          <w:highlight w:val="none"/>
        </w:rPr>
      </w:pPr>
      <w:r>
        <w:rPr>
          <w:rFonts w:ascii="黑体" w:hAnsi="黑体"/>
          <w:highlight w:val="none"/>
        </w:rPr>
        <w:t>5.4</w:t>
      </w:r>
      <w:r>
        <w:rPr>
          <w:rFonts w:hint="eastAsia" w:ascii="黑体" w:hAnsi="黑体"/>
          <w:highlight w:val="none"/>
        </w:rPr>
        <w:t>.12</w:t>
      </w:r>
      <w:r>
        <w:rPr>
          <w:rFonts w:ascii="黑体" w:hAnsi="黑体"/>
          <w:highlight w:val="none"/>
        </w:rPr>
        <w:t xml:space="preserve"> </w:t>
      </w:r>
      <w:r>
        <w:rPr>
          <w:rFonts w:hint="eastAsia" w:ascii="黑体" w:hAnsi="黑体"/>
          <w:bCs w:val="0"/>
          <w:highlight w:val="none"/>
        </w:rPr>
        <w:t>导管最大放电次数</w:t>
      </w:r>
    </w:p>
    <w:p w14:paraId="1ABE5C4C">
      <w:pPr>
        <w:pStyle w:val="20"/>
        <w:ind w:firstLine="420" w:firstLineChars="200"/>
        <w:jc w:val="left"/>
        <w:rPr>
          <w:sz w:val="21"/>
          <w:szCs w:val="21"/>
          <w:highlight w:val="none"/>
        </w:rPr>
      </w:pPr>
      <w:r>
        <w:rPr>
          <w:rFonts w:hint="eastAsia"/>
          <w:sz w:val="21"/>
          <w:szCs w:val="21"/>
          <w:highlight w:val="none"/>
        </w:rPr>
        <w:t>通过连接尾线将导管与设备连接，按照制造商规定的液体和压力充盈冲击波发生腔，连续释放冲击波脉冲，直到制造商规定的最大放电次数，放电功能正常。</w:t>
      </w:r>
    </w:p>
    <w:p w14:paraId="7A3BDC46">
      <w:pPr>
        <w:tabs>
          <w:tab w:val="center" w:pos="4153"/>
          <w:tab w:val="right" w:pos="8306"/>
        </w:tabs>
        <w:snapToGrid w:val="0"/>
        <w:spacing w:before="156" w:beforeLines="50" w:after="156" w:afterLines="50"/>
        <w:ind w:left="720" w:hanging="720"/>
        <w:outlineLvl w:val="1"/>
        <w:rPr>
          <w:rFonts w:hint="eastAsia" w:ascii="黑体" w:hAnsi="黑体" w:eastAsia="黑体"/>
          <w:bCs/>
          <w:highlight w:val="none"/>
        </w:rPr>
      </w:pPr>
      <w:r>
        <w:rPr>
          <w:rFonts w:ascii="黑体" w:hAnsi="黑体" w:eastAsia="黑体"/>
          <w:bCs/>
          <w:highlight w:val="none"/>
        </w:rPr>
        <w:t>5.</w:t>
      </w:r>
      <w:r>
        <w:rPr>
          <w:rFonts w:hint="eastAsia" w:ascii="黑体" w:hAnsi="黑体" w:eastAsia="黑体"/>
          <w:bCs/>
          <w:highlight w:val="none"/>
        </w:rPr>
        <w:t>5</w:t>
      </w:r>
      <w:r>
        <w:rPr>
          <w:rFonts w:ascii="黑体" w:hAnsi="黑体" w:eastAsia="黑体"/>
          <w:bCs/>
          <w:highlight w:val="none"/>
        </w:rPr>
        <w:t xml:space="preserve"> 安全</w:t>
      </w:r>
      <w:r>
        <w:rPr>
          <w:rFonts w:hint="eastAsia" w:ascii="黑体" w:hAnsi="黑体" w:eastAsia="黑体"/>
          <w:bCs/>
          <w:highlight w:val="none"/>
        </w:rPr>
        <w:t>和电磁兼容性</w:t>
      </w:r>
      <w:r>
        <w:rPr>
          <w:rFonts w:ascii="黑体" w:hAnsi="黑体" w:eastAsia="黑体"/>
          <w:bCs/>
          <w:highlight w:val="none"/>
        </w:rPr>
        <w:t>要求</w:t>
      </w:r>
    </w:p>
    <w:p w14:paraId="657E6BA7">
      <w:pPr>
        <w:pStyle w:val="20"/>
        <w:jc w:val="both"/>
        <w:rPr>
          <w:sz w:val="21"/>
          <w:szCs w:val="21"/>
          <w:highlight w:val="none"/>
        </w:rPr>
      </w:pPr>
      <w:r>
        <w:rPr>
          <w:rFonts w:ascii="黑体" w:hAnsi="黑体"/>
          <w:sz w:val="21"/>
          <w:szCs w:val="21"/>
          <w:highlight w:val="none"/>
        </w:rPr>
        <w:t>5.</w:t>
      </w:r>
      <w:r>
        <w:rPr>
          <w:rFonts w:hint="eastAsia" w:ascii="黑体" w:hAnsi="黑体"/>
          <w:sz w:val="21"/>
          <w:szCs w:val="21"/>
          <w:highlight w:val="none"/>
        </w:rPr>
        <w:t>5.</w:t>
      </w:r>
      <w:r>
        <w:rPr>
          <w:rFonts w:ascii="黑体" w:hAnsi="黑体"/>
          <w:sz w:val="21"/>
          <w:szCs w:val="21"/>
          <w:highlight w:val="none"/>
        </w:rPr>
        <w:t xml:space="preserve">1 </w:t>
      </w:r>
      <w:r>
        <w:rPr>
          <w:rFonts w:hint="eastAsia"/>
          <w:sz w:val="21"/>
          <w:szCs w:val="21"/>
          <w:highlight w:val="none"/>
        </w:rPr>
        <w:t>设备的安全试验方法按GB 9706.1-20</w:t>
      </w:r>
      <w:r>
        <w:rPr>
          <w:sz w:val="21"/>
          <w:szCs w:val="21"/>
          <w:highlight w:val="none"/>
        </w:rPr>
        <w:t>20</w:t>
      </w:r>
      <w:r>
        <w:rPr>
          <w:rFonts w:hint="eastAsia"/>
          <w:sz w:val="21"/>
          <w:szCs w:val="21"/>
          <w:highlight w:val="none"/>
        </w:rPr>
        <w:t>进行。</w:t>
      </w:r>
    </w:p>
    <w:p w14:paraId="1371467A">
      <w:pPr>
        <w:pStyle w:val="20"/>
        <w:jc w:val="both"/>
        <w:rPr>
          <w:rFonts w:hint="eastAsia" w:ascii="黑体" w:hAnsi="黑体"/>
          <w:sz w:val="21"/>
          <w:szCs w:val="21"/>
          <w:highlight w:val="none"/>
        </w:rPr>
      </w:pPr>
      <w:r>
        <w:rPr>
          <w:rFonts w:ascii="黑体" w:hAnsi="黑体"/>
          <w:sz w:val="21"/>
          <w:szCs w:val="21"/>
          <w:highlight w:val="none"/>
        </w:rPr>
        <w:t>5.</w:t>
      </w:r>
      <w:r>
        <w:rPr>
          <w:rFonts w:hint="eastAsia" w:ascii="黑体" w:hAnsi="黑体"/>
          <w:sz w:val="21"/>
          <w:szCs w:val="21"/>
          <w:highlight w:val="none"/>
        </w:rPr>
        <w:t>5.</w:t>
      </w:r>
      <w:r>
        <w:rPr>
          <w:rFonts w:ascii="黑体" w:hAnsi="黑体"/>
          <w:sz w:val="21"/>
          <w:szCs w:val="21"/>
          <w:highlight w:val="none"/>
        </w:rPr>
        <w:t xml:space="preserve">2 </w:t>
      </w:r>
      <w:r>
        <w:rPr>
          <w:rFonts w:hint="eastAsia"/>
          <w:sz w:val="21"/>
          <w:szCs w:val="21"/>
          <w:highlight w:val="none"/>
        </w:rPr>
        <w:t>设备的电磁兼容试验方法按Y</w:t>
      </w:r>
      <w:r>
        <w:rPr>
          <w:sz w:val="21"/>
          <w:szCs w:val="21"/>
          <w:highlight w:val="none"/>
        </w:rPr>
        <w:t>Y 9706.102-2021</w:t>
      </w:r>
      <w:r>
        <w:rPr>
          <w:rFonts w:hint="eastAsia"/>
          <w:sz w:val="21"/>
          <w:szCs w:val="21"/>
          <w:highlight w:val="none"/>
        </w:rPr>
        <w:t>进行求。</w:t>
      </w:r>
    </w:p>
    <w:p w14:paraId="5B76AF8B">
      <w:pPr>
        <w:tabs>
          <w:tab w:val="center" w:pos="4153"/>
          <w:tab w:val="right" w:pos="8306"/>
        </w:tabs>
        <w:snapToGrid w:val="0"/>
        <w:spacing w:before="156" w:beforeLines="50" w:after="156" w:afterLines="50" w:line="276" w:lineRule="auto"/>
        <w:ind w:firstLine="420" w:firstLineChars="200"/>
        <w:jc w:val="left"/>
        <w:rPr>
          <w:szCs w:val="21"/>
          <w:highlight w:val="none"/>
        </w:rPr>
      </w:pPr>
      <w:r>
        <w:rPr>
          <w:szCs w:val="21"/>
          <w:highlight w:val="none"/>
        </w:rPr>
        <w:br w:type="page"/>
      </w:r>
    </w:p>
    <w:p w14:paraId="73394A66">
      <w:pPr>
        <w:pStyle w:val="2"/>
        <w:spacing w:before="850" w:beforeLines="0" w:afterLines="0"/>
        <w:jc w:val="center"/>
        <w:rPr>
          <w:b w:val="0"/>
          <w:highlight w:val="none"/>
        </w:rPr>
      </w:pPr>
      <w:bookmarkStart w:id="115" w:name="_Toc196489765"/>
      <w:r>
        <w:rPr>
          <w:rFonts w:hint="eastAsia"/>
          <w:b w:val="0"/>
          <w:highlight w:val="none"/>
        </w:rPr>
        <w:t>附录A</w:t>
      </w:r>
      <w:bookmarkEnd w:id="115"/>
    </w:p>
    <w:p w14:paraId="77E82243">
      <w:pPr>
        <w:pStyle w:val="2"/>
        <w:spacing w:beforeLines="0" w:afterLines="0"/>
        <w:jc w:val="center"/>
        <w:rPr>
          <w:b w:val="0"/>
          <w:highlight w:val="none"/>
        </w:rPr>
      </w:pPr>
      <w:bookmarkStart w:id="116" w:name="_Toc132899297"/>
      <w:bookmarkStart w:id="117" w:name="_Toc196489766"/>
      <w:r>
        <w:rPr>
          <w:rFonts w:hint="eastAsia"/>
          <w:b w:val="0"/>
          <w:highlight w:val="none"/>
        </w:rPr>
        <w:t>（规范性）</w:t>
      </w:r>
      <w:bookmarkEnd w:id="116"/>
      <w:bookmarkEnd w:id="117"/>
      <w:bookmarkStart w:id="118" w:name="_Toc53497828"/>
    </w:p>
    <w:bookmarkEnd w:id="118"/>
    <w:p w14:paraId="1F77643F">
      <w:pPr>
        <w:pStyle w:val="2"/>
        <w:spacing w:beforeLines="0" w:afterLines="0"/>
        <w:jc w:val="center"/>
        <w:rPr>
          <w:b w:val="0"/>
          <w:highlight w:val="none"/>
        </w:rPr>
      </w:pPr>
      <w:bookmarkStart w:id="119" w:name="_Toc196489767"/>
      <w:r>
        <w:rPr>
          <w:rFonts w:hint="eastAsia"/>
          <w:b w:val="0"/>
          <w:highlight w:val="none"/>
        </w:rPr>
        <w:t>试验装置要求</w:t>
      </w:r>
      <w:bookmarkEnd w:id="119"/>
    </w:p>
    <w:p w14:paraId="19051DCA">
      <w:pPr>
        <w:pStyle w:val="20"/>
        <w:spacing w:before="156" w:beforeLines="50" w:after="156" w:afterLines="50"/>
        <w:ind w:firstLine="420" w:firstLineChars="200"/>
        <w:jc w:val="both"/>
        <w:rPr>
          <w:sz w:val="21"/>
          <w:szCs w:val="21"/>
          <w:highlight w:val="none"/>
        </w:rPr>
      </w:pPr>
      <w:bookmarkStart w:id="120" w:name="_Toc22305146"/>
      <w:bookmarkStart w:id="121" w:name="_Toc7381271"/>
      <w:bookmarkStart w:id="122" w:name="_Toc53497830"/>
      <w:r>
        <w:rPr>
          <w:rFonts w:hint="eastAsia"/>
          <w:sz w:val="21"/>
          <w:szCs w:val="21"/>
          <w:highlight w:val="none"/>
        </w:rPr>
        <w:t>试验装置应满足所有测试条款的性能要求。</w:t>
      </w:r>
    </w:p>
    <w:p w14:paraId="6990A062">
      <w:pPr>
        <w:pStyle w:val="20"/>
        <w:numPr>
          <w:ilvl w:val="0"/>
          <w:numId w:val="7"/>
        </w:numPr>
        <w:ind w:left="860" w:hanging="440"/>
        <w:jc w:val="both"/>
        <w:rPr>
          <w:sz w:val="21"/>
          <w:szCs w:val="21"/>
          <w:highlight w:val="none"/>
        </w:rPr>
      </w:pPr>
      <w:r>
        <w:rPr>
          <w:rFonts w:hint="eastAsia"/>
          <w:sz w:val="21"/>
          <w:szCs w:val="21"/>
          <w:highlight w:val="none"/>
        </w:rPr>
        <w:t>充盈液体：由生理盐水和造影剂按照一定比例混合而成的液体，比例由制造商在产品说明书中自行规定。</w:t>
      </w:r>
    </w:p>
    <w:p w14:paraId="6C65C982">
      <w:pPr>
        <w:pStyle w:val="20"/>
        <w:numPr>
          <w:ilvl w:val="0"/>
          <w:numId w:val="7"/>
        </w:numPr>
        <w:jc w:val="left"/>
        <w:rPr>
          <w:sz w:val="21"/>
          <w:szCs w:val="21"/>
          <w:highlight w:val="none"/>
        </w:rPr>
      </w:pPr>
      <w:r>
        <w:rPr>
          <w:rFonts w:hint="eastAsia"/>
          <w:sz w:val="21"/>
          <w:szCs w:val="21"/>
          <w:highlight w:val="none"/>
        </w:rPr>
        <w:t>数字存储示波器：采样率应大于等于200MHz。</w:t>
      </w:r>
    </w:p>
    <w:p w14:paraId="17F06E60">
      <w:pPr>
        <w:pStyle w:val="20"/>
        <w:numPr>
          <w:ilvl w:val="0"/>
          <w:numId w:val="7"/>
        </w:numPr>
        <w:jc w:val="left"/>
        <w:rPr>
          <w:sz w:val="21"/>
          <w:szCs w:val="21"/>
          <w:highlight w:val="none"/>
        </w:rPr>
      </w:pPr>
      <w:r>
        <w:rPr>
          <w:rFonts w:hint="eastAsia"/>
          <w:sz w:val="21"/>
          <w:szCs w:val="21"/>
          <w:highlight w:val="none"/>
        </w:rPr>
        <w:t>高压探头：输入阻抗大于等于1</w:t>
      </w:r>
      <w:r>
        <w:rPr>
          <w:sz w:val="21"/>
          <w:szCs w:val="21"/>
          <w:highlight w:val="none"/>
        </w:rPr>
        <w:t>0</w:t>
      </w:r>
      <w:r>
        <w:rPr>
          <w:rFonts w:hint="eastAsia"/>
          <w:sz w:val="21"/>
          <w:szCs w:val="21"/>
          <w:highlight w:val="none"/>
        </w:rPr>
        <w:t>MΩ。</w:t>
      </w:r>
    </w:p>
    <w:p w14:paraId="5848A955">
      <w:pPr>
        <w:pStyle w:val="20"/>
        <w:numPr>
          <w:ilvl w:val="0"/>
          <w:numId w:val="7"/>
        </w:numPr>
        <w:jc w:val="left"/>
        <w:rPr>
          <w:sz w:val="21"/>
          <w:szCs w:val="21"/>
          <w:highlight w:val="none"/>
        </w:rPr>
      </w:pPr>
      <w:r>
        <w:rPr>
          <w:rFonts w:hint="eastAsia"/>
          <w:sz w:val="21"/>
          <w:szCs w:val="21"/>
          <w:highlight w:val="none"/>
        </w:rPr>
        <w:t>秒表。</w:t>
      </w:r>
    </w:p>
    <w:p w14:paraId="769500CF">
      <w:pPr>
        <w:pStyle w:val="20"/>
        <w:numPr>
          <w:ilvl w:val="0"/>
          <w:numId w:val="7"/>
        </w:numPr>
        <w:jc w:val="left"/>
        <w:rPr>
          <w:sz w:val="21"/>
          <w:szCs w:val="21"/>
          <w:highlight w:val="none"/>
        </w:rPr>
      </w:pPr>
      <w:r>
        <w:rPr>
          <w:rFonts w:hint="eastAsia"/>
          <w:sz w:val="21"/>
          <w:szCs w:val="21"/>
          <w:highlight w:val="none"/>
        </w:rPr>
        <w:t>水听器：</w:t>
      </w:r>
    </w:p>
    <w:p w14:paraId="4D4D0AB9">
      <w:pPr>
        <w:pStyle w:val="20"/>
        <w:ind w:left="860"/>
        <w:jc w:val="left"/>
        <w:rPr>
          <w:sz w:val="21"/>
          <w:szCs w:val="21"/>
          <w:highlight w:val="none"/>
        </w:rPr>
      </w:pPr>
      <w:r>
        <w:rPr>
          <w:rFonts w:hint="eastAsia"/>
          <w:sz w:val="21"/>
          <w:szCs w:val="21"/>
          <w:highlight w:val="none"/>
        </w:rPr>
        <w:t>在声波频率范围内的频响不均匀性不超过每倍频程±3dB。水听器的有效直径不大于1.0mm并尽可能小。</w:t>
      </w:r>
    </w:p>
    <w:p w14:paraId="1FA1290F">
      <w:pPr>
        <w:pStyle w:val="20"/>
        <w:numPr>
          <w:ilvl w:val="0"/>
          <w:numId w:val="7"/>
        </w:numPr>
        <w:jc w:val="left"/>
        <w:rPr>
          <w:sz w:val="21"/>
          <w:szCs w:val="21"/>
          <w:highlight w:val="none"/>
        </w:rPr>
      </w:pPr>
      <w:r>
        <w:rPr>
          <w:rFonts w:hint="eastAsia"/>
          <w:sz w:val="21"/>
          <w:szCs w:val="21"/>
          <w:highlight w:val="none"/>
        </w:rPr>
        <w:t>测量水槽：</w:t>
      </w:r>
    </w:p>
    <w:p w14:paraId="04B0F3BA">
      <w:pPr>
        <w:pStyle w:val="20"/>
        <w:ind w:firstLine="420" w:firstLineChars="200"/>
        <w:jc w:val="left"/>
        <w:rPr>
          <w:sz w:val="21"/>
          <w:szCs w:val="21"/>
          <w:highlight w:val="none"/>
        </w:rPr>
      </w:pPr>
      <w:r>
        <w:rPr>
          <w:rFonts w:hint="eastAsia"/>
          <w:sz w:val="21"/>
          <w:szCs w:val="21"/>
          <w:highlight w:val="none"/>
        </w:rPr>
        <w:t>测量水槽应有足够空间，满足近似自由场的测量条件。测量水槽应牢固地安放在测试场地，并与水媒质良好的耦合，使冲击波脉冲能量很好传递。水槽尺寸应足够大，保证水听器测量位置距离水槽边界几厘米，特别注意水听器位置与水面的距离，应使冲击波脉冲的反射波不干扰测量。</w:t>
      </w:r>
    </w:p>
    <w:p w14:paraId="1382E0CB">
      <w:pPr>
        <w:pStyle w:val="20"/>
        <w:ind w:firstLine="420" w:firstLineChars="200"/>
        <w:jc w:val="left"/>
        <w:rPr>
          <w:sz w:val="21"/>
          <w:szCs w:val="21"/>
          <w:highlight w:val="none"/>
        </w:rPr>
      </w:pPr>
      <w:r>
        <w:rPr>
          <w:rFonts w:hint="eastAsia"/>
          <w:sz w:val="21"/>
          <w:szCs w:val="21"/>
          <w:highlight w:val="none"/>
        </w:rPr>
        <w:t>水听器应该有适当的机械支架，安装在坐标定位系统上，以便在相对于待测试样品的三个正交方向调节水听器的测量位置。定位坐标系统的一个轴（z轴，参照</w:t>
      </w:r>
      <w:r>
        <w:rPr>
          <w:sz w:val="21"/>
          <w:szCs w:val="21"/>
          <w:highlight w:val="none"/>
        </w:rPr>
        <w:t>YY/T0865.1-2011图J.1</w:t>
      </w:r>
      <w:r>
        <w:rPr>
          <w:rFonts w:hint="eastAsia"/>
          <w:sz w:val="21"/>
          <w:szCs w:val="21"/>
          <w:highlight w:val="none"/>
        </w:rPr>
        <w:t>）应与待测试样品的冲击波发生腔表面方向垂直。水听器的定位精度不低于0.5 mm。</w:t>
      </w:r>
    </w:p>
    <w:p w14:paraId="10F9DA01">
      <w:pPr>
        <w:pStyle w:val="20"/>
        <w:ind w:firstLine="420" w:firstLineChars="200"/>
        <w:jc w:val="left"/>
        <w:rPr>
          <w:sz w:val="21"/>
          <w:szCs w:val="21"/>
          <w:highlight w:val="none"/>
        </w:rPr>
      </w:pPr>
      <w:r>
        <w:rPr>
          <w:rFonts w:hint="eastAsia"/>
          <w:sz w:val="21"/>
          <w:szCs w:val="21"/>
          <w:highlight w:val="none"/>
        </w:rPr>
        <w:t>操作时，水听器头端位置不应接触待测试样品。</w:t>
      </w:r>
    </w:p>
    <w:p w14:paraId="6E39F574">
      <w:pPr>
        <w:pStyle w:val="51"/>
        <w:ind w:firstLine="422"/>
        <w:jc w:val="center"/>
        <w:rPr>
          <w:rFonts w:hint="eastAsia" w:hAnsi="宋体" w:cs="宋体"/>
          <w:highlight w:val="none"/>
        </w:rPr>
      </w:pPr>
      <w:r>
        <w:rPr>
          <w:rFonts w:hint="eastAsia" w:ascii="黑体" w:hAnsi="黑体" w:eastAsia="黑体"/>
          <w:bCs/>
          <w:szCs w:val="21"/>
          <w:highlight w:val="none"/>
        </w:rPr>
        <w:t xml:space="preserve"> </w:t>
      </w:r>
      <w:bookmarkEnd w:id="120"/>
      <w:bookmarkEnd w:id="121"/>
      <w:bookmarkEnd w:id="122"/>
      <w:r>
        <w:rPr>
          <w:rFonts w:hint="eastAsia" w:ascii="黑体" w:hAnsi="黑体" w:eastAsia="黑体" w:cs="黑体"/>
          <w:b/>
          <w:highlight w:val="none"/>
        </w:rPr>
        <w:t>━━━━━━━━━━━</w:t>
      </w:r>
    </w:p>
    <w:p w14:paraId="13606EC7">
      <w:pPr>
        <w:pStyle w:val="20"/>
        <w:spacing w:before="156" w:beforeLines="50" w:after="156" w:afterLines="50"/>
        <w:ind w:firstLine="0" w:firstLineChars="0"/>
        <w:jc w:val="left"/>
        <w:rPr>
          <w:sz w:val="21"/>
          <w:szCs w:val="21"/>
          <w:highlight w:val="none"/>
        </w:rPr>
      </w:pPr>
    </w:p>
    <w:sectPr>
      <w:headerReference r:id="rId9" w:type="default"/>
      <w:headerReference r:id="rId10" w:type="even"/>
      <w:footerReference r:id="rId11" w:type="even"/>
      <w:pgSz w:w="11906" w:h="16838"/>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ritannic Bold">
    <w:altName w:val="Yu Gothic UI Semibold"/>
    <w:panose1 w:val="020B0903060703020204"/>
    <w:charset w:val="00"/>
    <w:family w:val="swiss"/>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Yu Gothic UI Semibold">
    <w:panose1 w:val="020B07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7D38">
    <w:pPr>
      <w:pStyle w:val="106"/>
      <w:framePr w:wrap="around" w:vAnchor="text" w:hAnchor="margin" w:xAlign="outside" w:y="1"/>
      <w:rPr>
        <w:rStyle w:val="36"/>
      </w:rPr>
    </w:pPr>
    <w:r>
      <w:rPr>
        <w:rStyle w:val="36"/>
      </w:rPr>
      <w:fldChar w:fldCharType="begin"/>
    </w:r>
    <w:r>
      <w:rPr>
        <w:rStyle w:val="36"/>
      </w:rPr>
      <w:instrText xml:space="preserve"> PAGE </w:instrText>
    </w:r>
    <w:r>
      <w:rPr>
        <w:rStyle w:val="36"/>
      </w:rPr>
      <w:fldChar w:fldCharType="separate"/>
    </w:r>
    <w:r>
      <w:rPr>
        <w:rStyle w:val="36"/>
      </w:rPr>
      <w:t>1</w:t>
    </w:r>
    <w:r>
      <w:rPr>
        <w:rStyle w:val="36"/>
      </w:rPr>
      <w:fldChar w:fldCharType="end"/>
    </w:r>
  </w:p>
  <w:p w14:paraId="7C82D58F">
    <w:pPr>
      <w:pStyle w:val="106"/>
      <w:ind w:right="360" w:firstLine="360"/>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A80C6">
    <w:pPr>
      <w:pStyle w:val="105"/>
      <w:framePr w:wrap="around" w:vAnchor="text" w:hAnchor="margin" w:xAlign="outside" w:y="1"/>
      <w:rPr>
        <w:rStyle w:val="36"/>
      </w:rPr>
    </w:pPr>
    <w:r>
      <w:rPr>
        <w:rStyle w:val="36"/>
      </w:rPr>
      <w:fldChar w:fldCharType="begin"/>
    </w:r>
    <w:r>
      <w:rPr>
        <w:rStyle w:val="36"/>
      </w:rPr>
      <w:instrText xml:space="preserve"> PAGE </w:instrText>
    </w:r>
    <w:r>
      <w:rPr>
        <w:rStyle w:val="36"/>
      </w:rPr>
      <w:fldChar w:fldCharType="separate"/>
    </w:r>
    <w:r>
      <w:rPr>
        <w:rStyle w:val="36"/>
      </w:rPr>
      <w:t>1</w:t>
    </w:r>
    <w:r>
      <w:rPr>
        <w:rStyle w:val="36"/>
      </w:rPr>
      <w:fldChar w:fldCharType="end"/>
    </w:r>
  </w:p>
  <w:p w14:paraId="45DB058B">
    <w:pPr>
      <w:pStyle w:val="105"/>
      <w:ind w:right="360" w:firstLine="360"/>
      <w:rPr>
        <w:rStyle w:val="3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01524">
    <w:pPr>
      <w:pStyle w:val="19"/>
      <w:jc w:val="right"/>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3234">
    <w:pPr>
      <w:pStyle w:val="19"/>
    </w:pPr>
    <w:r>
      <w:fldChar w:fldCharType="begin"/>
    </w:r>
    <w:r>
      <w:rPr>
        <w:rStyle w:val="36"/>
      </w:rPr>
      <w:instrText xml:space="preserve"> PAGE </w:instrText>
    </w:r>
    <w:r>
      <w:fldChar w:fldCharType="separate"/>
    </w:r>
    <w:r>
      <w:rPr>
        <w:rStyle w:val="36"/>
      </w:rPr>
      <w:t>VI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5466">
    <w:pPr>
      <w:pStyle w:val="107"/>
    </w:pPr>
    <w:r>
      <w:rPr>
        <w:rFonts w:hint="eastAsia"/>
        <w:b/>
        <w:bCs/>
      </w:rPr>
      <w:t>YY/T XXXX-20</w:t>
    </w:r>
    <w:r>
      <w:rPr>
        <w:b/>
        <w:bCs/>
      </w:rPr>
      <w:t>X</w:t>
    </w:r>
    <w:r>
      <w:rPr>
        <w:rFonts w:hint="eastAsia"/>
        <w:b/>
        <w:bC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04DE9">
    <w:pPr>
      <w:pStyle w:val="20"/>
      <w:jc w:val="both"/>
    </w:pPr>
    <w:r>
      <w:rPr>
        <w:rFonts w:hint="eastAsia"/>
        <w:b/>
        <w:bCs/>
        <w:sz w:val="21"/>
      </w:rPr>
      <w:t>YY/T XXXX-20</w:t>
    </w:r>
    <w:r>
      <w:rPr>
        <w:b/>
        <w:bCs/>
        <w:sz w:val="21"/>
      </w:rPr>
      <w:t>X</w:t>
    </w:r>
    <w:r>
      <w:rPr>
        <w:rFonts w:hint="eastAsia"/>
        <w:b/>
        <w:bCs/>
        <w:sz w:val="2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2D81">
    <w:pPr>
      <w:pStyle w:val="20"/>
      <w:spacing w:after="120"/>
      <w:jc w:val="right"/>
      <w:rPr>
        <w:b/>
        <w:bCs/>
        <w:sz w:val="21"/>
      </w:rPr>
    </w:pPr>
    <w:r>
      <w:rPr>
        <w:rFonts w:hint="eastAsia"/>
        <w:b/>
        <w:bCs/>
        <w:sz w:val="21"/>
      </w:rPr>
      <w:t>YY/T XXXX-20</w:t>
    </w:r>
    <w:r>
      <w:rPr>
        <w:b/>
        <w:bCs/>
        <w:sz w:val="21"/>
      </w:rPr>
      <w:t>X</w:t>
    </w:r>
    <w:r>
      <w:rPr>
        <w:rFonts w:hint="eastAsia"/>
        <w:b/>
        <w:bCs/>
        <w:sz w:val="21"/>
      </w:rPr>
      <w:t xml:space="preserve">X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16174">
    <w:pPr>
      <w:pStyle w:val="20"/>
      <w:spacing w:after="120"/>
      <w:jc w:val="right"/>
      <w:rPr>
        <w:b/>
        <w:bCs/>
        <w:sz w:val="21"/>
      </w:rPr>
    </w:pPr>
    <w:r>
      <w:rPr>
        <w:rFonts w:hint="eastAsia"/>
        <w:b/>
        <w:bCs/>
        <w:sz w:val="21"/>
      </w:rPr>
      <w:t>YY/T XXXX-20</w:t>
    </w:r>
    <w:r>
      <w:rPr>
        <w:b/>
        <w:bCs/>
        <w:sz w:val="21"/>
      </w:rPr>
      <w:t>X</w:t>
    </w:r>
    <w:r>
      <w:rPr>
        <w:rFonts w:hint="eastAsia"/>
        <w:b/>
        <w:bCs/>
        <w:sz w:val="21"/>
      </w:rPr>
      <w:t xml:space="preserve">X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05D2">
    <w:pPr>
      <w:pStyle w:val="20"/>
      <w:jc w:val="both"/>
      <w:rPr>
        <w:b/>
        <w:bCs/>
        <w:sz w:val="21"/>
      </w:rPr>
    </w:pPr>
    <w:r>
      <w:rPr>
        <w:rFonts w:hint="eastAsia"/>
        <w:b/>
        <w:bCs/>
        <w:sz w:val="21"/>
      </w:rPr>
      <w:t>YY/T XXXX-20</w:t>
    </w:r>
    <w:r>
      <w:rPr>
        <w:b/>
        <w:bCs/>
        <w:sz w:val="21"/>
      </w:rPr>
      <w:t>X</w:t>
    </w:r>
    <w:r>
      <w:rPr>
        <w:rFonts w:hint="eastAsia"/>
        <w:b/>
        <w:bCs/>
        <w:sz w:val="21"/>
      </w:rPr>
      <w:t xml:space="preserve">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F0E53"/>
    <w:multiLevelType w:val="multilevel"/>
    <w:tmpl w:val="133F0E53"/>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1FC91163"/>
    <w:multiLevelType w:val="multilevel"/>
    <w:tmpl w:val="1FC91163"/>
    <w:lvl w:ilvl="0" w:tentative="0">
      <w:start w:val="1"/>
      <w:numFmt w:val="decimal"/>
      <w:pStyle w:val="8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6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6"/>
      <w:suff w:val="nothing"/>
      <w:lvlText w:val="%1.%2.%3.%4.%5　"/>
      <w:lvlJc w:val="left"/>
      <w:pPr>
        <w:ind w:left="0" w:firstLine="0"/>
      </w:pPr>
      <w:rPr>
        <w:rFonts w:hint="eastAsia" w:ascii="黑体" w:hAnsi="Times New Roman" w:eastAsia="黑体"/>
        <w:b w:val="0"/>
        <w:i w:val="0"/>
        <w:sz w:val="21"/>
      </w:rPr>
    </w:lvl>
    <w:lvl w:ilvl="5" w:tentative="0">
      <w:start w:val="1"/>
      <w:numFmt w:val="decimal"/>
      <w:pStyle w:val="8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2827D5B"/>
    <w:multiLevelType w:val="multilevel"/>
    <w:tmpl w:val="22827D5B"/>
    <w:lvl w:ilvl="0" w:tentative="0">
      <w:start w:val="1"/>
      <w:numFmt w:val="none"/>
      <w:pStyle w:val="61"/>
      <w:suff w:val="nothing"/>
      <w:lvlText w:val="%1注："/>
      <w:lvlJc w:val="left"/>
      <w:pPr>
        <w:ind w:left="931"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44C50F90"/>
    <w:multiLevelType w:val="multilevel"/>
    <w:tmpl w:val="44C50F90"/>
    <w:lvl w:ilvl="0" w:tentative="0">
      <w:start w:val="1"/>
      <w:numFmt w:val="lowerLetter"/>
      <w:pStyle w:val="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4539577D"/>
    <w:multiLevelType w:val="multilevel"/>
    <w:tmpl w:val="4539577D"/>
    <w:lvl w:ilvl="0" w:tentative="0">
      <w:start w:val="1"/>
      <w:numFmt w:val="decimal"/>
      <w:pStyle w:val="71"/>
      <w:lvlText w:val=""/>
      <w:lvlJc w:val="left"/>
      <w:pPr>
        <w:tabs>
          <w:tab w:val="left" w:pos="998"/>
        </w:tabs>
        <w:ind w:left="998" w:hanging="357"/>
      </w:pPr>
      <w:rPr>
        <w:rFonts w:hint="default" w:ascii="Symbol" w:hAnsi="Symbol"/>
      </w:rPr>
    </w:lvl>
    <w:lvl w:ilvl="1" w:tentative="0">
      <w:start w:val="1"/>
      <w:numFmt w:val="lowerLetter"/>
      <w:pStyle w:val="70"/>
      <w:lvlText w:val=""/>
      <w:lvlJc w:val="left"/>
      <w:pPr>
        <w:tabs>
          <w:tab w:val="left" w:pos="1281"/>
        </w:tabs>
        <w:ind w:left="1281" w:hanging="357"/>
      </w:pPr>
      <w:rPr>
        <w:rFonts w:hint="default" w:ascii="Symbol" w:hAnsi="Symbol"/>
      </w:rPr>
    </w:lvl>
    <w:lvl w:ilvl="2" w:tentative="0">
      <w:start w:val="1"/>
      <w:numFmt w:val="lowerRoman"/>
      <w:pStyle w:val="69"/>
      <w:lvlText w:val=""/>
      <w:lvlJc w:val="left"/>
      <w:pPr>
        <w:tabs>
          <w:tab w:val="left" w:pos="1565"/>
        </w:tabs>
        <w:ind w:left="1565" w:hanging="357"/>
      </w:pPr>
      <w:rPr>
        <w:rFonts w:hint="default" w:ascii="Wingdings" w:hAnsi="Wingdings"/>
      </w:rPr>
    </w:lvl>
    <w:lvl w:ilvl="3" w:tentative="0">
      <w:start w:val="1"/>
      <w:numFmt w:val="decimal"/>
      <w:pStyle w:val="68"/>
      <w:lvlText w:val=""/>
      <w:lvlJc w:val="left"/>
      <w:pPr>
        <w:tabs>
          <w:tab w:val="left" w:pos="1848"/>
        </w:tabs>
        <w:ind w:left="1848" w:hanging="357"/>
      </w:pPr>
      <w:rPr>
        <w:rFonts w:hint="default" w:ascii="Wingdings" w:hAnsi="Wingdings"/>
      </w:rPr>
    </w:lvl>
    <w:lvl w:ilvl="4" w:tentative="0">
      <w:start w:val="1"/>
      <w:numFmt w:val="lowerLetter"/>
      <w:pStyle w:val="67"/>
      <w:lvlText w:val=""/>
      <w:lvlJc w:val="left"/>
      <w:pPr>
        <w:tabs>
          <w:tab w:val="left" w:pos="2132"/>
        </w:tabs>
        <w:ind w:left="2132" w:hanging="358"/>
      </w:pPr>
      <w:rPr>
        <w:rFonts w:hint="default" w:ascii="Wingdings" w:hAnsi="Wingdings"/>
      </w:rPr>
    </w:lvl>
    <w:lvl w:ilvl="5" w:tentative="0">
      <w:start w:val="1"/>
      <w:numFmt w:val="lowerRoman"/>
      <w:pStyle w:val="66"/>
      <w:lvlText w:val=""/>
      <w:lvlJc w:val="left"/>
      <w:pPr>
        <w:tabs>
          <w:tab w:val="left" w:pos="2415"/>
        </w:tabs>
        <w:ind w:left="2415" w:hanging="357"/>
      </w:pPr>
      <w:rPr>
        <w:rFonts w:hint="default" w:ascii="Symbol" w:hAnsi="Symbol"/>
      </w:rPr>
    </w:lvl>
    <w:lvl w:ilvl="6" w:tentative="0">
      <w:start w:val="1"/>
      <w:numFmt w:val="decimal"/>
      <w:pStyle w:val="93"/>
      <w:lvlText w:val=""/>
      <w:lvlJc w:val="left"/>
      <w:pPr>
        <w:tabs>
          <w:tab w:val="left" w:pos="3759"/>
        </w:tabs>
        <w:ind w:left="3759" w:hanging="357"/>
      </w:pPr>
      <w:rPr>
        <w:rFonts w:hint="default" w:ascii="Symbol" w:hAnsi="Symbol"/>
      </w:rPr>
    </w:lvl>
    <w:lvl w:ilvl="7" w:tentative="0">
      <w:start w:val="1"/>
      <w:numFmt w:val="lowerLetter"/>
      <w:pStyle w:val="92"/>
      <w:lvlText w:val=""/>
      <w:lvlJc w:val="left"/>
      <w:pPr>
        <w:tabs>
          <w:tab w:val="left" w:pos="4042"/>
        </w:tabs>
        <w:ind w:left="4042" w:hanging="357"/>
      </w:pPr>
      <w:rPr>
        <w:rFonts w:hint="default" w:ascii="Symbol" w:hAnsi="Symbol"/>
      </w:rPr>
    </w:lvl>
    <w:lvl w:ilvl="8" w:tentative="0">
      <w:start w:val="1"/>
      <w:numFmt w:val="lowerRoman"/>
      <w:pStyle w:val="91"/>
      <w:lvlText w:val=""/>
      <w:lvlJc w:val="left"/>
      <w:pPr>
        <w:tabs>
          <w:tab w:val="left" w:pos="4326"/>
        </w:tabs>
        <w:ind w:left="4326" w:hanging="357"/>
      </w:pPr>
      <w:rPr>
        <w:rFonts w:hint="default" w:ascii="Symbol" w:hAnsi="Symbol"/>
      </w:rPr>
    </w:lvl>
  </w:abstractNum>
  <w:abstractNum w:abstractNumId="5">
    <w:nsid w:val="52C93492"/>
    <w:multiLevelType w:val="multilevel"/>
    <w:tmpl w:val="52C93492"/>
    <w:lvl w:ilvl="0" w:tentative="0">
      <w:start w:val="4"/>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pStyle w:val="55"/>
      <w:lvlText w:val="4.2.1.%3"/>
      <w:lvlJc w:val="left"/>
      <w:pPr>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646260FA"/>
    <w:multiLevelType w:val="multilevel"/>
    <w:tmpl w:val="646260FA"/>
    <w:lvl w:ilvl="0" w:tentative="0">
      <w:start w:val="1"/>
      <w:numFmt w:val="decimal"/>
      <w:pStyle w:val="77"/>
      <w:suff w:val="nothing"/>
      <w:lvlText w:val="表%1　"/>
      <w:lvlJc w:val="left"/>
      <w:pPr>
        <w:ind w:left="4679"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51"/>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ZGVkODUyZTFjYzE2ODdiNzJkOWViMGRhMmU4NGEifQ=="/>
  </w:docVars>
  <w:rsids>
    <w:rsidRoot w:val="00C8542D"/>
    <w:rsid w:val="0000034E"/>
    <w:rsid w:val="00000DC7"/>
    <w:rsid w:val="00001386"/>
    <w:rsid w:val="00002FA7"/>
    <w:rsid w:val="00003534"/>
    <w:rsid w:val="00004E9F"/>
    <w:rsid w:val="00004EF9"/>
    <w:rsid w:val="0000546A"/>
    <w:rsid w:val="00005C21"/>
    <w:rsid w:val="00007168"/>
    <w:rsid w:val="0000771F"/>
    <w:rsid w:val="0000777C"/>
    <w:rsid w:val="00007904"/>
    <w:rsid w:val="00011DA5"/>
    <w:rsid w:val="00012E01"/>
    <w:rsid w:val="00013889"/>
    <w:rsid w:val="00013FED"/>
    <w:rsid w:val="000147D3"/>
    <w:rsid w:val="00014A54"/>
    <w:rsid w:val="000179C6"/>
    <w:rsid w:val="00017F98"/>
    <w:rsid w:val="00021A78"/>
    <w:rsid w:val="00021CEE"/>
    <w:rsid w:val="0002220A"/>
    <w:rsid w:val="0002241C"/>
    <w:rsid w:val="00023283"/>
    <w:rsid w:val="000235EE"/>
    <w:rsid w:val="00025456"/>
    <w:rsid w:val="000259F2"/>
    <w:rsid w:val="00030778"/>
    <w:rsid w:val="000308B2"/>
    <w:rsid w:val="00031D79"/>
    <w:rsid w:val="0003275A"/>
    <w:rsid w:val="00033897"/>
    <w:rsid w:val="00034DBE"/>
    <w:rsid w:val="000375D6"/>
    <w:rsid w:val="00042804"/>
    <w:rsid w:val="00043142"/>
    <w:rsid w:val="00044614"/>
    <w:rsid w:val="000468FB"/>
    <w:rsid w:val="00046921"/>
    <w:rsid w:val="00047F5A"/>
    <w:rsid w:val="0005049F"/>
    <w:rsid w:val="00050EFC"/>
    <w:rsid w:val="000567CB"/>
    <w:rsid w:val="00061BE0"/>
    <w:rsid w:val="00062D3E"/>
    <w:rsid w:val="0006362F"/>
    <w:rsid w:val="0006366B"/>
    <w:rsid w:val="000652C3"/>
    <w:rsid w:val="000654AF"/>
    <w:rsid w:val="00065AE8"/>
    <w:rsid w:val="00067C84"/>
    <w:rsid w:val="00070265"/>
    <w:rsid w:val="000709F0"/>
    <w:rsid w:val="0007123E"/>
    <w:rsid w:val="000715B8"/>
    <w:rsid w:val="00072D6C"/>
    <w:rsid w:val="000735BE"/>
    <w:rsid w:val="00073DA7"/>
    <w:rsid w:val="00074BB8"/>
    <w:rsid w:val="0007549A"/>
    <w:rsid w:val="00075929"/>
    <w:rsid w:val="00075D22"/>
    <w:rsid w:val="000769AA"/>
    <w:rsid w:val="000770FF"/>
    <w:rsid w:val="000811ED"/>
    <w:rsid w:val="00081E74"/>
    <w:rsid w:val="000824D5"/>
    <w:rsid w:val="00082696"/>
    <w:rsid w:val="00083DF9"/>
    <w:rsid w:val="00085C3C"/>
    <w:rsid w:val="00085E8B"/>
    <w:rsid w:val="00087366"/>
    <w:rsid w:val="00087370"/>
    <w:rsid w:val="00087695"/>
    <w:rsid w:val="0009050D"/>
    <w:rsid w:val="000915D0"/>
    <w:rsid w:val="000915D3"/>
    <w:rsid w:val="000930AE"/>
    <w:rsid w:val="000930BB"/>
    <w:rsid w:val="00093259"/>
    <w:rsid w:val="00094DFE"/>
    <w:rsid w:val="00095DDF"/>
    <w:rsid w:val="00096B77"/>
    <w:rsid w:val="00096E40"/>
    <w:rsid w:val="0009789B"/>
    <w:rsid w:val="00097BA8"/>
    <w:rsid w:val="000A0A4F"/>
    <w:rsid w:val="000A2528"/>
    <w:rsid w:val="000A2F1B"/>
    <w:rsid w:val="000A3356"/>
    <w:rsid w:val="000A38F3"/>
    <w:rsid w:val="000A46EB"/>
    <w:rsid w:val="000A4B09"/>
    <w:rsid w:val="000A6937"/>
    <w:rsid w:val="000A71C9"/>
    <w:rsid w:val="000A78E9"/>
    <w:rsid w:val="000B0181"/>
    <w:rsid w:val="000B2CB2"/>
    <w:rsid w:val="000B2EDE"/>
    <w:rsid w:val="000B323A"/>
    <w:rsid w:val="000B3FBF"/>
    <w:rsid w:val="000B51D7"/>
    <w:rsid w:val="000B5D57"/>
    <w:rsid w:val="000B6654"/>
    <w:rsid w:val="000B682F"/>
    <w:rsid w:val="000B6B69"/>
    <w:rsid w:val="000C1A8A"/>
    <w:rsid w:val="000C2255"/>
    <w:rsid w:val="000C263E"/>
    <w:rsid w:val="000C27CE"/>
    <w:rsid w:val="000C34FA"/>
    <w:rsid w:val="000C4C3A"/>
    <w:rsid w:val="000C4F98"/>
    <w:rsid w:val="000C5135"/>
    <w:rsid w:val="000C5184"/>
    <w:rsid w:val="000C5E29"/>
    <w:rsid w:val="000C5FB0"/>
    <w:rsid w:val="000C63AC"/>
    <w:rsid w:val="000C687C"/>
    <w:rsid w:val="000C69C8"/>
    <w:rsid w:val="000C6C81"/>
    <w:rsid w:val="000C70CC"/>
    <w:rsid w:val="000D01E5"/>
    <w:rsid w:val="000D075C"/>
    <w:rsid w:val="000D08C3"/>
    <w:rsid w:val="000D0B89"/>
    <w:rsid w:val="000D1D9D"/>
    <w:rsid w:val="000D1F2B"/>
    <w:rsid w:val="000D2644"/>
    <w:rsid w:val="000D2BEB"/>
    <w:rsid w:val="000D320C"/>
    <w:rsid w:val="000D3B16"/>
    <w:rsid w:val="000D3C8E"/>
    <w:rsid w:val="000D45A0"/>
    <w:rsid w:val="000D5A36"/>
    <w:rsid w:val="000D6131"/>
    <w:rsid w:val="000D630F"/>
    <w:rsid w:val="000D6B6F"/>
    <w:rsid w:val="000D6DE4"/>
    <w:rsid w:val="000D75C3"/>
    <w:rsid w:val="000E00BF"/>
    <w:rsid w:val="000E2326"/>
    <w:rsid w:val="000E26A8"/>
    <w:rsid w:val="000E4685"/>
    <w:rsid w:val="000F03E3"/>
    <w:rsid w:val="000F12DA"/>
    <w:rsid w:val="000F16EF"/>
    <w:rsid w:val="000F4144"/>
    <w:rsid w:val="000F4847"/>
    <w:rsid w:val="000F5785"/>
    <w:rsid w:val="000F5CD8"/>
    <w:rsid w:val="000F6953"/>
    <w:rsid w:val="000F6CFD"/>
    <w:rsid w:val="000F7AD9"/>
    <w:rsid w:val="0010038B"/>
    <w:rsid w:val="00102CC7"/>
    <w:rsid w:val="00103428"/>
    <w:rsid w:val="00103B69"/>
    <w:rsid w:val="0010538B"/>
    <w:rsid w:val="001053CE"/>
    <w:rsid w:val="00110580"/>
    <w:rsid w:val="001105C3"/>
    <w:rsid w:val="0011105F"/>
    <w:rsid w:val="001117AF"/>
    <w:rsid w:val="001122DD"/>
    <w:rsid w:val="00112524"/>
    <w:rsid w:val="0011262F"/>
    <w:rsid w:val="00112D16"/>
    <w:rsid w:val="00113116"/>
    <w:rsid w:val="001134CA"/>
    <w:rsid w:val="00113640"/>
    <w:rsid w:val="001166FF"/>
    <w:rsid w:val="00116FEE"/>
    <w:rsid w:val="00120A12"/>
    <w:rsid w:val="001223FE"/>
    <w:rsid w:val="00122830"/>
    <w:rsid w:val="001228C9"/>
    <w:rsid w:val="001233D3"/>
    <w:rsid w:val="00125010"/>
    <w:rsid w:val="001253BD"/>
    <w:rsid w:val="001269BD"/>
    <w:rsid w:val="0013032B"/>
    <w:rsid w:val="001333F4"/>
    <w:rsid w:val="001344E5"/>
    <w:rsid w:val="00134EFE"/>
    <w:rsid w:val="00136287"/>
    <w:rsid w:val="001369AF"/>
    <w:rsid w:val="00136E46"/>
    <w:rsid w:val="001370D0"/>
    <w:rsid w:val="0014079D"/>
    <w:rsid w:val="001428D6"/>
    <w:rsid w:val="001436EB"/>
    <w:rsid w:val="00144033"/>
    <w:rsid w:val="00146C5F"/>
    <w:rsid w:val="00146F99"/>
    <w:rsid w:val="001472AF"/>
    <w:rsid w:val="00147C96"/>
    <w:rsid w:val="0015185B"/>
    <w:rsid w:val="0015185C"/>
    <w:rsid w:val="00152394"/>
    <w:rsid w:val="00152443"/>
    <w:rsid w:val="00152B48"/>
    <w:rsid w:val="00154E97"/>
    <w:rsid w:val="00154F47"/>
    <w:rsid w:val="00156FE5"/>
    <w:rsid w:val="00157309"/>
    <w:rsid w:val="00160264"/>
    <w:rsid w:val="00160D9C"/>
    <w:rsid w:val="001626C2"/>
    <w:rsid w:val="001628D8"/>
    <w:rsid w:val="00162FC7"/>
    <w:rsid w:val="00163393"/>
    <w:rsid w:val="001648D0"/>
    <w:rsid w:val="00165CE9"/>
    <w:rsid w:val="00165D4B"/>
    <w:rsid w:val="00166135"/>
    <w:rsid w:val="00166525"/>
    <w:rsid w:val="00166F33"/>
    <w:rsid w:val="001671B7"/>
    <w:rsid w:val="001676B3"/>
    <w:rsid w:val="00170FC6"/>
    <w:rsid w:val="0017274B"/>
    <w:rsid w:val="00173468"/>
    <w:rsid w:val="001758BC"/>
    <w:rsid w:val="0017689B"/>
    <w:rsid w:val="001770DD"/>
    <w:rsid w:val="00177FF6"/>
    <w:rsid w:val="0018373D"/>
    <w:rsid w:val="00183997"/>
    <w:rsid w:val="001840C0"/>
    <w:rsid w:val="00184C26"/>
    <w:rsid w:val="00185156"/>
    <w:rsid w:val="00185C5E"/>
    <w:rsid w:val="00186497"/>
    <w:rsid w:val="00187E2F"/>
    <w:rsid w:val="001904A3"/>
    <w:rsid w:val="00191BBC"/>
    <w:rsid w:val="00191BE9"/>
    <w:rsid w:val="00193D6B"/>
    <w:rsid w:val="001958E0"/>
    <w:rsid w:val="0019776C"/>
    <w:rsid w:val="001A14D7"/>
    <w:rsid w:val="001A184D"/>
    <w:rsid w:val="001A2646"/>
    <w:rsid w:val="001A521D"/>
    <w:rsid w:val="001B061D"/>
    <w:rsid w:val="001B0704"/>
    <w:rsid w:val="001B0C0C"/>
    <w:rsid w:val="001B2DCA"/>
    <w:rsid w:val="001B338B"/>
    <w:rsid w:val="001B523B"/>
    <w:rsid w:val="001B6694"/>
    <w:rsid w:val="001C01D2"/>
    <w:rsid w:val="001C0696"/>
    <w:rsid w:val="001C1F9D"/>
    <w:rsid w:val="001C2D96"/>
    <w:rsid w:val="001C30C9"/>
    <w:rsid w:val="001C37B4"/>
    <w:rsid w:val="001C432D"/>
    <w:rsid w:val="001C4840"/>
    <w:rsid w:val="001C5884"/>
    <w:rsid w:val="001C5F9D"/>
    <w:rsid w:val="001C6008"/>
    <w:rsid w:val="001C62B9"/>
    <w:rsid w:val="001C6B2A"/>
    <w:rsid w:val="001C7418"/>
    <w:rsid w:val="001D04C1"/>
    <w:rsid w:val="001D1607"/>
    <w:rsid w:val="001D235B"/>
    <w:rsid w:val="001D2FCB"/>
    <w:rsid w:val="001D4E70"/>
    <w:rsid w:val="001D6A71"/>
    <w:rsid w:val="001D6D63"/>
    <w:rsid w:val="001E0052"/>
    <w:rsid w:val="001E0C54"/>
    <w:rsid w:val="001E2112"/>
    <w:rsid w:val="001E28C5"/>
    <w:rsid w:val="001E3BBD"/>
    <w:rsid w:val="001E3DFF"/>
    <w:rsid w:val="001E54F0"/>
    <w:rsid w:val="001E611A"/>
    <w:rsid w:val="001E703F"/>
    <w:rsid w:val="001E7839"/>
    <w:rsid w:val="001E7B9A"/>
    <w:rsid w:val="001F09FD"/>
    <w:rsid w:val="001F0E55"/>
    <w:rsid w:val="001F165A"/>
    <w:rsid w:val="001F1A81"/>
    <w:rsid w:val="001F2FAD"/>
    <w:rsid w:val="001F3094"/>
    <w:rsid w:val="001F361B"/>
    <w:rsid w:val="001F45C4"/>
    <w:rsid w:val="001F5227"/>
    <w:rsid w:val="001F5FA3"/>
    <w:rsid w:val="001F6B01"/>
    <w:rsid w:val="002006F6"/>
    <w:rsid w:val="00202225"/>
    <w:rsid w:val="00203410"/>
    <w:rsid w:val="00204614"/>
    <w:rsid w:val="0020480F"/>
    <w:rsid w:val="002048AB"/>
    <w:rsid w:val="00204E9D"/>
    <w:rsid w:val="002054ED"/>
    <w:rsid w:val="00206A87"/>
    <w:rsid w:val="00206C1B"/>
    <w:rsid w:val="00207BAF"/>
    <w:rsid w:val="0021136A"/>
    <w:rsid w:val="00211BB8"/>
    <w:rsid w:val="00213065"/>
    <w:rsid w:val="00213186"/>
    <w:rsid w:val="00215665"/>
    <w:rsid w:val="0021633E"/>
    <w:rsid w:val="00216AA1"/>
    <w:rsid w:val="00216EED"/>
    <w:rsid w:val="00220B30"/>
    <w:rsid w:val="002218DB"/>
    <w:rsid w:val="00222B4F"/>
    <w:rsid w:val="00223298"/>
    <w:rsid w:val="002232E3"/>
    <w:rsid w:val="002249AA"/>
    <w:rsid w:val="00227CA9"/>
    <w:rsid w:val="002316B8"/>
    <w:rsid w:val="00231703"/>
    <w:rsid w:val="00232EBE"/>
    <w:rsid w:val="0023339D"/>
    <w:rsid w:val="00234031"/>
    <w:rsid w:val="00235091"/>
    <w:rsid w:val="002351A7"/>
    <w:rsid w:val="00235A97"/>
    <w:rsid w:val="00235BA6"/>
    <w:rsid w:val="00236397"/>
    <w:rsid w:val="0023695B"/>
    <w:rsid w:val="00237304"/>
    <w:rsid w:val="00237A28"/>
    <w:rsid w:val="00237D5B"/>
    <w:rsid w:val="00240273"/>
    <w:rsid w:val="00241533"/>
    <w:rsid w:val="0024203F"/>
    <w:rsid w:val="002442FA"/>
    <w:rsid w:val="00244AB5"/>
    <w:rsid w:val="002454D7"/>
    <w:rsid w:val="0024692E"/>
    <w:rsid w:val="00246F6B"/>
    <w:rsid w:val="002479FE"/>
    <w:rsid w:val="00252130"/>
    <w:rsid w:val="0025293A"/>
    <w:rsid w:val="00252BC0"/>
    <w:rsid w:val="00253468"/>
    <w:rsid w:val="00253DFD"/>
    <w:rsid w:val="00256353"/>
    <w:rsid w:val="00256542"/>
    <w:rsid w:val="00256546"/>
    <w:rsid w:val="002570E8"/>
    <w:rsid w:val="00257452"/>
    <w:rsid w:val="00260A1D"/>
    <w:rsid w:val="002611F5"/>
    <w:rsid w:val="002630C4"/>
    <w:rsid w:val="00264562"/>
    <w:rsid w:val="00264E24"/>
    <w:rsid w:val="00267184"/>
    <w:rsid w:val="00271B3F"/>
    <w:rsid w:val="00271CEC"/>
    <w:rsid w:val="002737D9"/>
    <w:rsid w:val="00273AB8"/>
    <w:rsid w:val="00273EB5"/>
    <w:rsid w:val="002745BC"/>
    <w:rsid w:val="00275B97"/>
    <w:rsid w:val="00276B2B"/>
    <w:rsid w:val="0027734B"/>
    <w:rsid w:val="002802B5"/>
    <w:rsid w:val="00280E65"/>
    <w:rsid w:val="00282BDB"/>
    <w:rsid w:val="00282E5A"/>
    <w:rsid w:val="00283E40"/>
    <w:rsid w:val="00283E75"/>
    <w:rsid w:val="00285669"/>
    <w:rsid w:val="00286301"/>
    <w:rsid w:val="00291261"/>
    <w:rsid w:val="002913B2"/>
    <w:rsid w:val="00291A7D"/>
    <w:rsid w:val="00291D66"/>
    <w:rsid w:val="00291D7B"/>
    <w:rsid w:val="00291EA9"/>
    <w:rsid w:val="0029200E"/>
    <w:rsid w:val="002922BF"/>
    <w:rsid w:val="00293C49"/>
    <w:rsid w:val="002942DA"/>
    <w:rsid w:val="0029511B"/>
    <w:rsid w:val="00296746"/>
    <w:rsid w:val="00296B64"/>
    <w:rsid w:val="002A00E5"/>
    <w:rsid w:val="002A144D"/>
    <w:rsid w:val="002A2DA3"/>
    <w:rsid w:val="002A32D1"/>
    <w:rsid w:val="002A33AB"/>
    <w:rsid w:val="002A4E13"/>
    <w:rsid w:val="002A5CCB"/>
    <w:rsid w:val="002A6D75"/>
    <w:rsid w:val="002B0807"/>
    <w:rsid w:val="002B0E9F"/>
    <w:rsid w:val="002B1CC2"/>
    <w:rsid w:val="002B1F53"/>
    <w:rsid w:val="002B33B7"/>
    <w:rsid w:val="002B3624"/>
    <w:rsid w:val="002B3908"/>
    <w:rsid w:val="002B46E9"/>
    <w:rsid w:val="002B4C7A"/>
    <w:rsid w:val="002B4F1C"/>
    <w:rsid w:val="002B7A95"/>
    <w:rsid w:val="002B7EE7"/>
    <w:rsid w:val="002C05D1"/>
    <w:rsid w:val="002C218B"/>
    <w:rsid w:val="002C2EA6"/>
    <w:rsid w:val="002C5D65"/>
    <w:rsid w:val="002C5FA9"/>
    <w:rsid w:val="002D154F"/>
    <w:rsid w:val="002D1BB5"/>
    <w:rsid w:val="002D236F"/>
    <w:rsid w:val="002D2E40"/>
    <w:rsid w:val="002D3654"/>
    <w:rsid w:val="002D388E"/>
    <w:rsid w:val="002D4E73"/>
    <w:rsid w:val="002D6109"/>
    <w:rsid w:val="002D6B74"/>
    <w:rsid w:val="002D763B"/>
    <w:rsid w:val="002E02DA"/>
    <w:rsid w:val="002E06C5"/>
    <w:rsid w:val="002E3549"/>
    <w:rsid w:val="002E36E1"/>
    <w:rsid w:val="002E403F"/>
    <w:rsid w:val="002E594E"/>
    <w:rsid w:val="002E5ABE"/>
    <w:rsid w:val="002E6686"/>
    <w:rsid w:val="002E6EED"/>
    <w:rsid w:val="002E76C5"/>
    <w:rsid w:val="002F1A2D"/>
    <w:rsid w:val="002F2BF5"/>
    <w:rsid w:val="002F3DE3"/>
    <w:rsid w:val="002F7C49"/>
    <w:rsid w:val="00300194"/>
    <w:rsid w:val="00300D33"/>
    <w:rsid w:val="003022FB"/>
    <w:rsid w:val="0030245F"/>
    <w:rsid w:val="00302D96"/>
    <w:rsid w:val="00303044"/>
    <w:rsid w:val="003044D1"/>
    <w:rsid w:val="003046E8"/>
    <w:rsid w:val="00304AAA"/>
    <w:rsid w:val="00304BBF"/>
    <w:rsid w:val="00305466"/>
    <w:rsid w:val="00307226"/>
    <w:rsid w:val="003079FD"/>
    <w:rsid w:val="00307D20"/>
    <w:rsid w:val="00311D53"/>
    <w:rsid w:val="00313687"/>
    <w:rsid w:val="003148AF"/>
    <w:rsid w:val="00314D51"/>
    <w:rsid w:val="003152A9"/>
    <w:rsid w:val="0031591A"/>
    <w:rsid w:val="0031626B"/>
    <w:rsid w:val="00316BB3"/>
    <w:rsid w:val="0032067C"/>
    <w:rsid w:val="00320BCC"/>
    <w:rsid w:val="00321C0A"/>
    <w:rsid w:val="00322179"/>
    <w:rsid w:val="0032220A"/>
    <w:rsid w:val="00323F34"/>
    <w:rsid w:val="003254D2"/>
    <w:rsid w:val="00325DEC"/>
    <w:rsid w:val="00326134"/>
    <w:rsid w:val="0032673D"/>
    <w:rsid w:val="00326839"/>
    <w:rsid w:val="00331D50"/>
    <w:rsid w:val="00333C25"/>
    <w:rsid w:val="00333C39"/>
    <w:rsid w:val="00340E3D"/>
    <w:rsid w:val="003418EA"/>
    <w:rsid w:val="00345FE3"/>
    <w:rsid w:val="003507EA"/>
    <w:rsid w:val="00350C58"/>
    <w:rsid w:val="00351625"/>
    <w:rsid w:val="00352CBE"/>
    <w:rsid w:val="00353563"/>
    <w:rsid w:val="00353AD1"/>
    <w:rsid w:val="00355934"/>
    <w:rsid w:val="00355C4B"/>
    <w:rsid w:val="0035724C"/>
    <w:rsid w:val="003603AE"/>
    <w:rsid w:val="0036213B"/>
    <w:rsid w:val="00365B38"/>
    <w:rsid w:val="00366684"/>
    <w:rsid w:val="00367051"/>
    <w:rsid w:val="0036767A"/>
    <w:rsid w:val="00367C9F"/>
    <w:rsid w:val="0037047A"/>
    <w:rsid w:val="00370ABE"/>
    <w:rsid w:val="003723B3"/>
    <w:rsid w:val="003724C3"/>
    <w:rsid w:val="0037257C"/>
    <w:rsid w:val="00372593"/>
    <w:rsid w:val="003727AC"/>
    <w:rsid w:val="0037403C"/>
    <w:rsid w:val="00374F9D"/>
    <w:rsid w:val="003759C8"/>
    <w:rsid w:val="003766AD"/>
    <w:rsid w:val="0037765F"/>
    <w:rsid w:val="003777EE"/>
    <w:rsid w:val="00381E53"/>
    <w:rsid w:val="00381F06"/>
    <w:rsid w:val="0038376A"/>
    <w:rsid w:val="00385635"/>
    <w:rsid w:val="00385BC6"/>
    <w:rsid w:val="00385CE4"/>
    <w:rsid w:val="00385F34"/>
    <w:rsid w:val="003902DD"/>
    <w:rsid w:val="00390A89"/>
    <w:rsid w:val="00393923"/>
    <w:rsid w:val="00394595"/>
    <w:rsid w:val="00397021"/>
    <w:rsid w:val="003A1AF9"/>
    <w:rsid w:val="003A35A2"/>
    <w:rsid w:val="003A4795"/>
    <w:rsid w:val="003A5407"/>
    <w:rsid w:val="003A7F2B"/>
    <w:rsid w:val="003B1808"/>
    <w:rsid w:val="003B2B7E"/>
    <w:rsid w:val="003B3DCC"/>
    <w:rsid w:val="003B40D3"/>
    <w:rsid w:val="003B48DB"/>
    <w:rsid w:val="003B50EA"/>
    <w:rsid w:val="003B722A"/>
    <w:rsid w:val="003B75E1"/>
    <w:rsid w:val="003C0B97"/>
    <w:rsid w:val="003C0C62"/>
    <w:rsid w:val="003C12DB"/>
    <w:rsid w:val="003C1B2D"/>
    <w:rsid w:val="003C1D48"/>
    <w:rsid w:val="003C3419"/>
    <w:rsid w:val="003C3AFB"/>
    <w:rsid w:val="003C409E"/>
    <w:rsid w:val="003C42C9"/>
    <w:rsid w:val="003C5084"/>
    <w:rsid w:val="003C58F9"/>
    <w:rsid w:val="003C5D07"/>
    <w:rsid w:val="003C7D5B"/>
    <w:rsid w:val="003D13A0"/>
    <w:rsid w:val="003D1A2A"/>
    <w:rsid w:val="003D1EC9"/>
    <w:rsid w:val="003D1F57"/>
    <w:rsid w:val="003D2771"/>
    <w:rsid w:val="003D3309"/>
    <w:rsid w:val="003D3A51"/>
    <w:rsid w:val="003D3CBB"/>
    <w:rsid w:val="003D5B4C"/>
    <w:rsid w:val="003D6FAB"/>
    <w:rsid w:val="003D759D"/>
    <w:rsid w:val="003E115B"/>
    <w:rsid w:val="003E1189"/>
    <w:rsid w:val="003E47C5"/>
    <w:rsid w:val="003E5426"/>
    <w:rsid w:val="003F0B7C"/>
    <w:rsid w:val="003F1287"/>
    <w:rsid w:val="003F2F82"/>
    <w:rsid w:val="003F3D2A"/>
    <w:rsid w:val="003F4FD7"/>
    <w:rsid w:val="003F5B88"/>
    <w:rsid w:val="003F6974"/>
    <w:rsid w:val="004039BF"/>
    <w:rsid w:val="00404BE4"/>
    <w:rsid w:val="00404C62"/>
    <w:rsid w:val="00404DB5"/>
    <w:rsid w:val="00405F07"/>
    <w:rsid w:val="00407F1D"/>
    <w:rsid w:val="004138EF"/>
    <w:rsid w:val="00414041"/>
    <w:rsid w:val="00416EC0"/>
    <w:rsid w:val="004176FB"/>
    <w:rsid w:val="0041794A"/>
    <w:rsid w:val="00417AB2"/>
    <w:rsid w:val="00420781"/>
    <w:rsid w:val="00421A18"/>
    <w:rsid w:val="004242DE"/>
    <w:rsid w:val="004249D7"/>
    <w:rsid w:val="00424BF2"/>
    <w:rsid w:val="004256A3"/>
    <w:rsid w:val="004318E7"/>
    <w:rsid w:val="004321B7"/>
    <w:rsid w:val="0043259D"/>
    <w:rsid w:val="00433C4A"/>
    <w:rsid w:val="00434415"/>
    <w:rsid w:val="00434DCE"/>
    <w:rsid w:val="004354E5"/>
    <w:rsid w:val="00440195"/>
    <w:rsid w:val="004401F9"/>
    <w:rsid w:val="004406D8"/>
    <w:rsid w:val="00442477"/>
    <w:rsid w:val="004425CF"/>
    <w:rsid w:val="004446D8"/>
    <w:rsid w:val="00445021"/>
    <w:rsid w:val="004455A8"/>
    <w:rsid w:val="004455F7"/>
    <w:rsid w:val="00445966"/>
    <w:rsid w:val="004465B9"/>
    <w:rsid w:val="00447C2B"/>
    <w:rsid w:val="004501DC"/>
    <w:rsid w:val="0045069F"/>
    <w:rsid w:val="0045347E"/>
    <w:rsid w:val="00453664"/>
    <w:rsid w:val="00453C0C"/>
    <w:rsid w:val="00454131"/>
    <w:rsid w:val="004546E3"/>
    <w:rsid w:val="00454704"/>
    <w:rsid w:val="0045744C"/>
    <w:rsid w:val="00461037"/>
    <w:rsid w:val="00461A76"/>
    <w:rsid w:val="00461D27"/>
    <w:rsid w:val="00462827"/>
    <w:rsid w:val="004629E9"/>
    <w:rsid w:val="0046470A"/>
    <w:rsid w:val="004728F9"/>
    <w:rsid w:val="004736C3"/>
    <w:rsid w:val="00474578"/>
    <w:rsid w:val="0047519B"/>
    <w:rsid w:val="0047573E"/>
    <w:rsid w:val="00475DD8"/>
    <w:rsid w:val="00475FFD"/>
    <w:rsid w:val="00476610"/>
    <w:rsid w:val="00482BFB"/>
    <w:rsid w:val="00483A78"/>
    <w:rsid w:val="00484F3A"/>
    <w:rsid w:val="00486CDB"/>
    <w:rsid w:val="00487CFE"/>
    <w:rsid w:val="00490162"/>
    <w:rsid w:val="00490908"/>
    <w:rsid w:val="00490986"/>
    <w:rsid w:val="00490F9B"/>
    <w:rsid w:val="00492B0D"/>
    <w:rsid w:val="00492D5F"/>
    <w:rsid w:val="00494609"/>
    <w:rsid w:val="004957E3"/>
    <w:rsid w:val="00496526"/>
    <w:rsid w:val="004A04D0"/>
    <w:rsid w:val="004A0F3E"/>
    <w:rsid w:val="004A1A5A"/>
    <w:rsid w:val="004A1BE2"/>
    <w:rsid w:val="004A22BE"/>
    <w:rsid w:val="004A28A6"/>
    <w:rsid w:val="004A3AA1"/>
    <w:rsid w:val="004A59B6"/>
    <w:rsid w:val="004A5C5E"/>
    <w:rsid w:val="004A5E79"/>
    <w:rsid w:val="004A653E"/>
    <w:rsid w:val="004A74C5"/>
    <w:rsid w:val="004A774F"/>
    <w:rsid w:val="004A7896"/>
    <w:rsid w:val="004A7ABD"/>
    <w:rsid w:val="004B4FEA"/>
    <w:rsid w:val="004B519D"/>
    <w:rsid w:val="004B5FA5"/>
    <w:rsid w:val="004B62F9"/>
    <w:rsid w:val="004B7180"/>
    <w:rsid w:val="004B78EB"/>
    <w:rsid w:val="004C0718"/>
    <w:rsid w:val="004C0880"/>
    <w:rsid w:val="004C0E59"/>
    <w:rsid w:val="004C19F1"/>
    <w:rsid w:val="004C299C"/>
    <w:rsid w:val="004C3B70"/>
    <w:rsid w:val="004C40DF"/>
    <w:rsid w:val="004C56F0"/>
    <w:rsid w:val="004C5864"/>
    <w:rsid w:val="004C68D2"/>
    <w:rsid w:val="004C705E"/>
    <w:rsid w:val="004D04B8"/>
    <w:rsid w:val="004D1EF8"/>
    <w:rsid w:val="004D208F"/>
    <w:rsid w:val="004D20F3"/>
    <w:rsid w:val="004D443C"/>
    <w:rsid w:val="004D443F"/>
    <w:rsid w:val="004D4C2E"/>
    <w:rsid w:val="004D5018"/>
    <w:rsid w:val="004D54BE"/>
    <w:rsid w:val="004D5E93"/>
    <w:rsid w:val="004D607C"/>
    <w:rsid w:val="004D7791"/>
    <w:rsid w:val="004E0434"/>
    <w:rsid w:val="004E1B1B"/>
    <w:rsid w:val="004E27EB"/>
    <w:rsid w:val="004E35C9"/>
    <w:rsid w:val="004E4117"/>
    <w:rsid w:val="004E4323"/>
    <w:rsid w:val="004E5ADB"/>
    <w:rsid w:val="004F01F7"/>
    <w:rsid w:val="004F0ED1"/>
    <w:rsid w:val="004F16A6"/>
    <w:rsid w:val="004F2967"/>
    <w:rsid w:val="004F34AF"/>
    <w:rsid w:val="004F5387"/>
    <w:rsid w:val="004F6F7B"/>
    <w:rsid w:val="004F79E8"/>
    <w:rsid w:val="00500CEA"/>
    <w:rsid w:val="00501060"/>
    <w:rsid w:val="0050159D"/>
    <w:rsid w:val="00501FDB"/>
    <w:rsid w:val="00503061"/>
    <w:rsid w:val="00503414"/>
    <w:rsid w:val="00503E31"/>
    <w:rsid w:val="0050473D"/>
    <w:rsid w:val="00504823"/>
    <w:rsid w:val="00506590"/>
    <w:rsid w:val="005066DF"/>
    <w:rsid w:val="00506A29"/>
    <w:rsid w:val="00511F51"/>
    <w:rsid w:val="005123DE"/>
    <w:rsid w:val="00512E6A"/>
    <w:rsid w:val="00514149"/>
    <w:rsid w:val="005172FA"/>
    <w:rsid w:val="00517AA1"/>
    <w:rsid w:val="0052018A"/>
    <w:rsid w:val="005203CF"/>
    <w:rsid w:val="00520C1A"/>
    <w:rsid w:val="005218DD"/>
    <w:rsid w:val="00521BB4"/>
    <w:rsid w:val="00523E20"/>
    <w:rsid w:val="0052569B"/>
    <w:rsid w:val="0052638F"/>
    <w:rsid w:val="005274C3"/>
    <w:rsid w:val="00530B1D"/>
    <w:rsid w:val="0053234D"/>
    <w:rsid w:val="005334FB"/>
    <w:rsid w:val="00534D08"/>
    <w:rsid w:val="00540C26"/>
    <w:rsid w:val="00540D99"/>
    <w:rsid w:val="005420A5"/>
    <w:rsid w:val="005430D2"/>
    <w:rsid w:val="00543D57"/>
    <w:rsid w:val="00544B98"/>
    <w:rsid w:val="005456D7"/>
    <w:rsid w:val="00546062"/>
    <w:rsid w:val="00546E0C"/>
    <w:rsid w:val="00547F9E"/>
    <w:rsid w:val="005516A8"/>
    <w:rsid w:val="005516D3"/>
    <w:rsid w:val="00553637"/>
    <w:rsid w:val="00553EB4"/>
    <w:rsid w:val="005554BD"/>
    <w:rsid w:val="0055593B"/>
    <w:rsid w:val="00556285"/>
    <w:rsid w:val="00556E4F"/>
    <w:rsid w:val="00557227"/>
    <w:rsid w:val="005573F5"/>
    <w:rsid w:val="0055776E"/>
    <w:rsid w:val="00557FED"/>
    <w:rsid w:val="00560F4B"/>
    <w:rsid w:val="005611CF"/>
    <w:rsid w:val="005611F0"/>
    <w:rsid w:val="00561B62"/>
    <w:rsid w:val="00561C49"/>
    <w:rsid w:val="00562994"/>
    <w:rsid w:val="00562D28"/>
    <w:rsid w:val="00563983"/>
    <w:rsid w:val="00564E77"/>
    <w:rsid w:val="00565FA1"/>
    <w:rsid w:val="0056723C"/>
    <w:rsid w:val="0057069E"/>
    <w:rsid w:val="0057290B"/>
    <w:rsid w:val="00573C08"/>
    <w:rsid w:val="0057451C"/>
    <w:rsid w:val="00574F72"/>
    <w:rsid w:val="005752EE"/>
    <w:rsid w:val="0057585F"/>
    <w:rsid w:val="005761AE"/>
    <w:rsid w:val="00577228"/>
    <w:rsid w:val="00577B2D"/>
    <w:rsid w:val="005803D4"/>
    <w:rsid w:val="00582A15"/>
    <w:rsid w:val="0058328A"/>
    <w:rsid w:val="005841AC"/>
    <w:rsid w:val="00586E16"/>
    <w:rsid w:val="00587E62"/>
    <w:rsid w:val="0059181A"/>
    <w:rsid w:val="005929DA"/>
    <w:rsid w:val="00592EB4"/>
    <w:rsid w:val="00594ADC"/>
    <w:rsid w:val="00595B29"/>
    <w:rsid w:val="005A0B05"/>
    <w:rsid w:val="005A0CBB"/>
    <w:rsid w:val="005A14DD"/>
    <w:rsid w:val="005A2A8E"/>
    <w:rsid w:val="005A2B94"/>
    <w:rsid w:val="005A2FC6"/>
    <w:rsid w:val="005A3563"/>
    <w:rsid w:val="005A5073"/>
    <w:rsid w:val="005A6155"/>
    <w:rsid w:val="005B009A"/>
    <w:rsid w:val="005B036C"/>
    <w:rsid w:val="005B037D"/>
    <w:rsid w:val="005B0432"/>
    <w:rsid w:val="005B0676"/>
    <w:rsid w:val="005B0803"/>
    <w:rsid w:val="005B35A9"/>
    <w:rsid w:val="005B4316"/>
    <w:rsid w:val="005B443F"/>
    <w:rsid w:val="005B6783"/>
    <w:rsid w:val="005C0259"/>
    <w:rsid w:val="005C0F53"/>
    <w:rsid w:val="005C293D"/>
    <w:rsid w:val="005C39BC"/>
    <w:rsid w:val="005C6B7F"/>
    <w:rsid w:val="005C74F5"/>
    <w:rsid w:val="005D00DF"/>
    <w:rsid w:val="005D299C"/>
    <w:rsid w:val="005D2E6C"/>
    <w:rsid w:val="005D4406"/>
    <w:rsid w:val="005D4E38"/>
    <w:rsid w:val="005D55C7"/>
    <w:rsid w:val="005D5F86"/>
    <w:rsid w:val="005D7229"/>
    <w:rsid w:val="005E118D"/>
    <w:rsid w:val="005E4C12"/>
    <w:rsid w:val="005E4E00"/>
    <w:rsid w:val="005F1243"/>
    <w:rsid w:val="005F213E"/>
    <w:rsid w:val="005F43D7"/>
    <w:rsid w:val="005F4E84"/>
    <w:rsid w:val="005F509B"/>
    <w:rsid w:val="005F5CFE"/>
    <w:rsid w:val="005F660F"/>
    <w:rsid w:val="005F6EC6"/>
    <w:rsid w:val="005F762D"/>
    <w:rsid w:val="005F7AC9"/>
    <w:rsid w:val="00601D8F"/>
    <w:rsid w:val="00602B0A"/>
    <w:rsid w:val="00603811"/>
    <w:rsid w:val="00603EDD"/>
    <w:rsid w:val="00604367"/>
    <w:rsid w:val="0060460E"/>
    <w:rsid w:val="00604D72"/>
    <w:rsid w:val="00605383"/>
    <w:rsid w:val="00606B6E"/>
    <w:rsid w:val="00607162"/>
    <w:rsid w:val="00610CCA"/>
    <w:rsid w:val="00611461"/>
    <w:rsid w:val="0061340B"/>
    <w:rsid w:val="00613D1A"/>
    <w:rsid w:val="0061548C"/>
    <w:rsid w:val="006160A8"/>
    <w:rsid w:val="0061784C"/>
    <w:rsid w:val="006225D7"/>
    <w:rsid w:val="00623778"/>
    <w:rsid w:val="00627F42"/>
    <w:rsid w:val="00630016"/>
    <w:rsid w:val="006304F7"/>
    <w:rsid w:val="00630A19"/>
    <w:rsid w:val="00631F1C"/>
    <w:rsid w:val="0063392A"/>
    <w:rsid w:val="006370D8"/>
    <w:rsid w:val="00637C63"/>
    <w:rsid w:val="00637DF1"/>
    <w:rsid w:val="0064127B"/>
    <w:rsid w:val="006423FC"/>
    <w:rsid w:val="00643692"/>
    <w:rsid w:val="00643812"/>
    <w:rsid w:val="00644350"/>
    <w:rsid w:val="006455EF"/>
    <w:rsid w:val="00646415"/>
    <w:rsid w:val="00646BE2"/>
    <w:rsid w:val="006477B3"/>
    <w:rsid w:val="006501C0"/>
    <w:rsid w:val="00652E71"/>
    <w:rsid w:val="006531C6"/>
    <w:rsid w:val="006538C9"/>
    <w:rsid w:val="00653BE9"/>
    <w:rsid w:val="006557C7"/>
    <w:rsid w:val="00660CA0"/>
    <w:rsid w:val="006624B5"/>
    <w:rsid w:val="00662F38"/>
    <w:rsid w:val="006630E2"/>
    <w:rsid w:val="0066387A"/>
    <w:rsid w:val="00664B81"/>
    <w:rsid w:val="00665447"/>
    <w:rsid w:val="00666279"/>
    <w:rsid w:val="00666A85"/>
    <w:rsid w:val="00666E5E"/>
    <w:rsid w:val="00666E71"/>
    <w:rsid w:val="00670427"/>
    <w:rsid w:val="00670665"/>
    <w:rsid w:val="00670E8F"/>
    <w:rsid w:val="00673A8B"/>
    <w:rsid w:val="006757D2"/>
    <w:rsid w:val="00675D33"/>
    <w:rsid w:val="00681BDA"/>
    <w:rsid w:val="006831C9"/>
    <w:rsid w:val="006838DB"/>
    <w:rsid w:val="00685808"/>
    <w:rsid w:val="00686B75"/>
    <w:rsid w:val="00686FC9"/>
    <w:rsid w:val="006873F2"/>
    <w:rsid w:val="00690530"/>
    <w:rsid w:val="006911C4"/>
    <w:rsid w:val="00693152"/>
    <w:rsid w:val="00694897"/>
    <w:rsid w:val="00694911"/>
    <w:rsid w:val="0069511E"/>
    <w:rsid w:val="006957AD"/>
    <w:rsid w:val="00695F5E"/>
    <w:rsid w:val="00697339"/>
    <w:rsid w:val="006978A6"/>
    <w:rsid w:val="006A0B77"/>
    <w:rsid w:val="006A1253"/>
    <w:rsid w:val="006A2697"/>
    <w:rsid w:val="006A2E55"/>
    <w:rsid w:val="006A5FF0"/>
    <w:rsid w:val="006B03CB"/>
    <w:rsid w:val="006B114A"/>
    <w:rsid w:val="006B1719"/>
    <w:rsid w:val="006B2DEE"/>
    <w:rsid w:val="006B3EC7"/>
    <w:rsid w:val="006C036E"/>
    <w:rsid w:val="006C0C5C"/>
    <w:rsid w:val="006C0F08"/>
    <w:rsid w:val="006C4B03"/>
    <w:rsid w:val="006C6D5B"/>
    <w:rsid w:val="006D0E3B"/>
    <w:rsid w:val="006D1454"/>
    <w:rsid w:val="006D1E71"/>
    <w:rsid w:val="006D3F9F"/>
    <w:rsid w:val="006D42C5"/>
    <w:rsid w:val="006D5D3C"/>
    <w:rsid w:val="006D6DB6"/>
    <w:rsid w:val="006D78C1"/>
    <w:rsid w:val="006E2E2D"/>
    <w:rsid w:val="006E3036"/>
    <w:rsid w:val="006E434D"/>
    <w:rsid w:val="006E4C30"/>
    <w:rsid w:val="006E5516"/>
    <w:rsid w:val="006E7168"/>
    <w:rsid w:val="006F0792"/>
    <w:rsid w:val="006F1E88"/>
    <w:rsid w:val="006F2BE3"/>
    <w:rsid w:val="006F2CB8"/>
    <w:rsid w:val="006F31F8"/>
    <w:rsid w:val="006F3850"/>
    <w:rsid w:val="006F3A29"/>
    <w:rsid w:val="006F47AD"/>
    <w:rsid w:val="006F56D4"/>
    <w:rsid w:val="006F65E6"/>
    <w:rsid w:val="006F6FF8"/>
    <w:rsid w:val="006F7E42"/>
    <w:rsid w:val="006F7FB5"/>
    <w:rsid w:val="00700354"/>
    <w:rsid w:val="00701347"/>
    <w:rsid w:val="00701ED9"/>
    <w:rsid w:val="00702CFC"/>
    <w:rsid w:val="0070394D"/>
    <w:rsid w:val="00703D0A"/>
    <w:rsid w:val="007054FA"/>
    <w:rsid w:val="00707263"/>
    <w:rsid w:val="007076EF"/>
    <w:rsid w:val="00707CA4"/>
    <w:rsid w:val="007107CF"/>
    <w:rsid w:val="00712CC4"/>
    <w:rsid w:val="00712FFB"/>
    <w:rsid w:val="0071331E"/>
    <w:rsid w:val="00713756"/>
    <w:rsid w:val="00713D1A"/>
    <w:rsid w:val="00715E69"/>
    <w:rsid w:val="00720217"/>
    <w:rsid w:val="007202D6"/>
    <w:rsid w:val="00720657"/>
    <w:rsid w:val="00722432"/>
    <w:rsid w:val="0072273C"/>
    <w:rsid w:val="007267A7"/>
    <w:rsid w:val="0073055A"/>
    <w:rsid w:val="007307BA"/>
    <w:rsid w:val="00731056"/>
    <w:rsid w:val="00731AA0"/>
    <w:rsid w:val="00731D70"/>
    <w:rsid w:val="00733167"/>
    <w:rsid w:val="007343F5"/>
    <w:rsid w:val="0073560C"/>
    <w:rsid w:val="00736994"/>
    <w:rsid w:val="00736CC2"/>
    <w:rsid w:val="0073738F"/>
    <w:rsid w:val="007378E1"/>
    <w:rsid w:val="007405B2"/>
    <w:rsid w:val="00740B43"/>
    <w:rsid w:val="00741D04"/>
    <w:rsid w:val="007423DB"/>
    <w:rsid w:val="00742A5A"/>
    <w:rsid w:val="00743149"/>
    <w:rsid w:val="0074327C"/>
    <w:rsid w:val="00744430"/>
    <w:rsid w:val="0074529F"/>
    <w:rsid w:val="00746AA7"/>
    <w:rsid w:val="00746C73"/>
    <w:rsid w:val="007477DD"/>
    <w:rsid w:val="00747FBA"/>
    <w:rsid w:val="0075067B"/>
    <w:rsid w:val="00750797"/>
    <w:rsid w:val="007510A1"/>
    <w:rsid w:val="007529DA"/>
    <w:rsid w:val="00752E56"/>
    <w:rsid w:val="00753813"/>
    <w:rsid w:val="00756C9E"/>
    <w:rsid w:val="00760E82"/>
    <w:rsid w:val="0076104B"/>
    <w:rsid w:val="0076194C"/>
    <w:rsid w:val="00763EB1"/>
    <w:rsid w:val="00763EB2"/>
    <w:rsid w:val="00766946"/>
    <w:rsid w:val="00770893"/>
    <w:rsid w:val="00770A45"/>
    <w:rsid w:val="007712DE"/>
    <w:rsid w:val="00773F59"/>
    <w:rsid w:val="007764B8"/>
    <w:rsid w:val="00776990"/>
    <w:rsid w:val="007805F1"/>
    <w:rsid w:val="00780DED"/>
    <w:rsid w:val="007816B5"/>
    <w:rsid w:val="0078271A"/>
    <w:rsid w:val="007829C8"/>
    <w:rsid w:val="00784A79"/>
    <w:rsid w:val="007851EC"/>
    <w:rsid w:val="00785963"/>
    <w:rsid w:val="00785BF6"/>
    <w:rsid w:val="00785F36"/>
    <w:rsid w:val="00786CE0"/>
    <w:rsid w:val="0079075C"/>
    <w:rsid w:val="007919F9"/>
    <w:rsid w:val="00795308"/>
    <w:rsid w:val="007964B0"/>
    <w:rsid w:val="007966D6"/>
    <w:rsid w:val="00796C72"/>
    <w:rsid w:val="0079782C"/>
    <w:rsid w:val="00797AFF"/>
    <w:rsid w:val="007A0A41"/>
    <w:rsid w:val="007A2451"/>
    <w:rsid w:val="007A2535"/>
    <w:rsid w:val="007A26C1"/>
    <w:rsid w:val="007A33B8"/>
    <w:rsid w:val="007A3B1F"/>
    <w:rsid w:val="007A48DF"/>
    <w:rsid w:val="007A49A8"/>
    <w:rsid w:val="007A549A"/>
    <w:rsid w:val="007B05AC"/>
    <w:rsid w:val="007B0969"/>
    <w:rsid w:val="007B2677"/>
    <w:rsid w:val="007B3177"/>
    <w:rsid w:val="007B3ECC"/>
    <w:rsid w:val="007B48DA"/>
    <w:rsid w:val="007B7D18"/>
    <w:rsid w:val="007C0002"/>
    <w:rsid w:val="007C023D"/>
    <w:rsid w:val="007C0387"/>
    <w:rsid w:val="007C1D6F"/>
    <w:rsid w:val="007C202E"/>
    <w:rsid w:val="007C3C33"/>
    <w:rsid w:val="007C5F8D"/>
    <w:rsid w:val="007C62FF"/>
    <w:rsid w:val="007C6C7F"/>
    <w:rsid w:val="007C7E4D"/>
    <w:rsid w:val="007D0328"/>
    <w:rsid w:val="007D2598"/>
    <w:rsid w:val="007D2EEB"/>
    <w:rsid w:val="007D411E"/>
    <w:rsid w:val="007D61FC"/>
    <w:rsid w:val="007D64C0"/>
    <w:rsid w:val="007D65BA"/>
    <w:rsid w:val="007D7C16"/>
    <w:rsid w:val="007E071F"/>
    <w:rsid w:val="007E078F"/>
    <w:rsid w:val="007E3FF0"/>
    <w:rsid w:val="007E6E58"/>
    <w:rsid w:val="007F0AE2"/>
    <w:rsid w:val="007F1043"/>
    <w:rsid w:val="007F21D6"/>
    <w:rsid w:val="007F27F4"/>
    <w:rsid w:val="007F322D"/>
    <w:rsid w:val="007F5E2E"/>
    <w:rsid w:val="007F609D"/>
    <w:rsid w:val="007F6478"/>
    <w:rsid w:val="007F6F22"/>
    <w:rsid w:val="007F741B"/>
    <w:rsid w:val="007F75E4"/>
    <w:rsid w:val="008008AA"/>
    <w:rsid w:val="00800C97"/>
    <w:rsid w:val="00801FDC"/>
    <w:rsid w:val="00802151"/>
    <w:rsid w:val="00802456"/>
    <w:rsid w:val="00802A43"/>
    <w:rsid w:val="0080494E"/>
    <w:rsid w:val="00805FA7"/>
    <w:rsid w:val="00806F7E"/>
    <w:rsid w:val="00810154"/>
    <w:rsid w:val="008110BD"/>
    <w:rsid w:val="00812B5C"/>
    <w:rsid w:val="008130F0"/>
    <w:rsid w:val="00813648"/>
    <w:rsid w:val="008138E7"/>
    <w:rsid w:val="008139E9"/>
    <w:rsid w:val="00813E54"/>
    <w:rsid w:val="008140E2"/>
    <w:rsid w:val="0081430E"/>
    <w:rsid w:val="0081465C"/>
    <w:rsid w:val="00817197"/>
    <w:rsid w:val="00817C51"/>
    <w:rsid w:val="00817D99"/>
    <w:rsid w:val="00820096"/>
    <w:rsid w:val="00820B88"/>
    <w:rsid w:val="008218C3"/>
    <w:rsid w:val="008219D3"/>
    <w:rsid w:val="00821D09"/>
    <w:rsid w:val="00822724"/>
    <w:rsid w:val="00822780"/>
    <w:rsid w:val="00822999"/>
    <w:rsid w:val="00823B95"/>
    <w:rsid w:val="008270FE"/>
    <w:rsid w:val="00831EDC"/>
    <w:rsid w:val="0083298F"/>
    <w:rsid w:val="0083705E"/>
    <w:rsid w:val="00837686"/>
    <w:rsid w:val="00840402"/>
    <w:rsid w:val="00840523"/>
    <w:rsid w:val="00840C6D"/>
    <w:rsid w:val="00842C39"/>
    <w:rsid w:val="0084359E"/>
    <w:rsid w:val="00843D85"/>
    <w:rsid w:val="00846244"/>
    <w:rsid w:val="00847976"/>
    <w:rsid w:val="00847EF9"/>
    <w:rsid w:val="008504DF"/>
    <w:rsid w:val="0085167D"/>
    <w:rsid w:val="00852152"/>
    <w:rsid w:val="00852D4C"/>
    <w:rsid w:val="0085364C"/>
    <w:rsid w:val="00853B68"/>
    <w:rsid w:val="00854D5D"/>
    <w:rsid w:val="00855B65"/>
    <w:rsid w:val="00857B20"/>
    <w:rsid w:val="008623D9"/>
    <w:rsid w:val="00862746"/>
    <w:rsid w:val="00863428"/>
    <w:rsid w:val="008634F9"/>
    <w:rsid w:val="008646C4"/>
    <w:rsid w:val="0086544F"/>
    <w:rsid w:val="00866B4E"/>
    <w:rsid w:val="00866FB8"/>
    <w:rsid w:val="00871C59"/>
    <w:rsid w:val="00873742"/>
    <w:rsid w:val="00876082"/>
    <w:rsid w:val="0087745D"/>
    <w:rsid w:val="008803BA"/>
    <w:rsid w:val="00880ADB"/>
    <w:rsid w:val="00882034"/>
    <w:rsid w:val="00883E5F"/>
    <w:rsid w:val="008849EB"/>
    <w:rsid w:val="008858F3"/>
    <w:rsid w:val="008863EE"/>
    <w:rsid w:val="008870DC"/>
    <w:rsid w:val="00890CA7"/>
    <w:rsid w:val="00891DE4"/>
    <w:rsid w:val="0089334A"/>
    <w:rsid w:val="00893537"/>
    <w:rsid w:val="008938DC"/>
    <w:rsid w:val="0089409A"/>
    <w:rsid w:val="00895823"/>
    <w:rsid w:val="008A0787"/>
    <w:rsid w:val="008A0B4F"/>
    <w:rsid w:val="008A3293"/>
    <w:rsid w:val="008A366D"/>
    <w:rsid w:val="008A4702"/>
    <w:rsid w:val="008A664D"/>
    <w:rsid w:val="008A6DE6"/>
    <w:rsid w:val="008A7B36"/>
    <w:rsid w:val="008B2D3F"/>
    <w:rsid w:val="008B4136"/>
    <w:rsid w:val="008B44C5"/>
    <w:rsid w:val="008B4FC6"/>
    <w:rsid w:val="008B50B3"/>
    <w:rsid w:val="008B55C8"/>
    <w:rsid w:val="008B65DD"/>
    <w:rsid w:val="008B6882"/>
    <w:rsid w:val="008C0384"/>
    <w:rsid w:val="008C0A58"/>
    <w:rsid w:val="008C435A"/>
    <w:rsid w:val="008C5064"/>
    <w:rsid w:val="008C64EC"/>
    <w:rsid w:val="008C7882"/>
    <w:rsid w:val="008C7C63"/>
    <w:rsid w:val="008C7DA5"/>
    <w:rsid w:val="008C7DF9"/>
    <w:rsid w:val="008C7ECC"/>
    <w:rsid w:val="008D1957"/>
    <w:rsid w:val="008D1F20"/>
    <w:rsid w:val="008D2263"/>
    <w:rsid w:val="008D3BBB"/>
    <w:rsid w:val="008D4041"/>
    <w:rsid w:val="008D58E9"/>
    <w:rsid w:val="008D5DE3"/>
    <w:rsid w:val="008D6D59"/>
    <w:rsid w:val="008D7F26"/>
    <w:rsid w:val="008E01DF"/>
    <w:rsid w:val="008E0528"/>
    <w:rsid w:val="008E076A"/>
    <w:rsid w:val="008E0A4C"/>
    <w:rsid w:val="008E10A0"/>
    <w:rsid w:val="008E242A"/>
    <w:rsid w:val="008E441C"/>
    <w:rsid w:val="008E530A"/>
    <w:rsid w:val="008E536D"/>
    <w:rsid w:val="008E69E9"/>
    <w:rsid w:val="008F0014"/>
    <w:rsid w:val="008F4B7D"/>
    <w:rsid w:val="008F60E9"/>
    <w:rsid w:val="008F780A"/>
    <w:rsid w:val="00900219"/>
    <w:rsid w:val="00900685"/>
    <w:rsid w:val="00903855"/>
    <w:rsid w:val="00906A44"/>
    <w:rsid w:val="00906BED"/>
    <w:rsid w:val="0091092E"/>
    <w:rsid w:val="00912687"/>
    <w:rsid w:val="009205D8"/>
    <w:rsid w:val="00920992"/>
    <w:rsid w:val="00921A50"/>
    <w:rsid w:val="009230EA"/>
    <w:rsid w:val="00923349"/>
    <w:rsid w:val="009243DB"/>
    <w:rsid w:val="00924AC7"/>
    <w:rsid w:val="0092542C"/>
    <w:rsid w:val="00925F4C"/>
    <w:rsid w:val="00927C75"/>
    <w:rsid w:val="00927E49"/>
    <w:rsid w:val="00930D13"/>
    <w:rsid w:val="00931B37"/>
    <w:rsid w:val="0093711D"/>
    <w:rsid w:val="009407CB"/>
    <w:rsid w:val="009407D0"/>
    <w:rsid w:val="00941379"/>
    <w:rsid w:val="00941F73"/>
    <w:rsid w:val="00943333"/>
    <w:rsid w:val="00945D84"/>
    <w:rsid w:val="00946F16"/>
    <w:rsid w:val="00952E11"/>
    <w:rsid w:val="009542DD"/>
    <w:rsid w:val="0095455E"/>
    <w:rsid w:val="00955022"/>
    <w:rsid w:val="0095550C"/>
    <w:rsid w:val="00955E78"/>
    <w:rsid w:val="00956184"/>
    <w:rsid w:val="009562A0"/>
    <w:rsid w:val="0095634E"/>
    <w:rsid w:val="009568AA"/>
    <w:rsid w:val="0095712C"/>
    <w:rsid w:val="00960483"/>
    <w:rsid w:val="00961AB5"/>
    <w:rsid w:val="009638FC"/>
    <w:rsid w:val="009641F5"/>
    <w:rsid w:val="0096488F"/>
    <w:rsid w:val="009658D6"/>
    <w:rsid w:val="00965AE7"/>
    <w:rsid w:val="009677A3"/>
    <w:rsid w:val="00967B7A"/>
    <w:rsid w:val="00970794"/>
    <w:rsid w:val="009715CF"/>
    <w:rsid w:val="00971B86"/>
    <w:rsid w:val="00973830"/>
    <w:rsid w:val="009746AB"/>
    <w:rsid w:val="00974AA0"/>
    <w:rsid w:val="00975380"/>
    <w:rsid w:val="009761A3"/>
    <w:rsid w:val="009818CD"/>
    <w:rsid w:val="009818F7"/>
    <w:rsid w:val="00981CE1"/>
    <w:rsid w:val="009827BE"/>
    <w:rsid w:val="009843F5"/>
    <w:rsid w:val="00984571"/>
    <w:rsid w:val="00985612"/>
    <w:rsid w:val="0098703C"/>
    <w:rsid w:val="0099173C"/>
    <w:rsid w:val="00994494"/>
    <w:rsid w:val="0099532B"/>
    <w:rsid w:val="0099717E"/>
    <w:rsid w:val="009A0B6B"/>
    <w:rsid w:val="009A107D"/>
    <w:rsid w:val="009A2E96"/>
    <w:rsid w:val="009A461F"/>
    <w:rsid w:val="009A48C6"/>
    <w:rsid w:val="009A4997"/>
    <w:rsid w:val="009A5061"/>
    <w:rsid w:val="009B1770"/>
    <w:rsid w:val="009B25E4"/>
    <w:rsid w:val="009B390E"/>
    <w:rsid w:val="009B3AC9"/>
    <w:rsid w:val="009B3FE9"/>
    <w:rsid w:val="009B4FFC"/>
    <w:rsid w:val="009B5940"/>
    <w:rsid w:val="009B7227"/>
    <w:rsid w:val="009C3A29"/>
    <w:rsid w:val="009C43B9"/>
    <w:rsid w:val="009C4504"/>
    <w:rsid w:val="009C4D87"/>
    <w:rsid w:val="009C528B"/>
    <w:rsid w:val="009C6942"/>
    <w:rsid w:val="009C7188"/>
    <w:rsid w:val="009D105F"/>
    <w:rsid w:val="009D1183"/>
    <w:rsid w:val="009D2E14"/>
    <w:rsid w:val="009D3F10"/>
    <w:rsid w:val="009D4340"/>
    <w:rsid w:val="009D4A51"/>
    <w:rsid w:val="009D6201"/>
    <w:rsid w:val="009D69F4"/>
    <w:rsid w:val="009D6C42"/>
    <w:rsid w:val="009D7488"/>
    <w:rsid w:val="009D7ADE"/>
    <w:rsid w:val="009D7F26"/>
    <w:rsid w:val="009E009F"/>
    <w:rsid w:val="009E25C4"/>
    <w:rsid w:val="009E281E"/>
    <w:rsid w:val="009E70E0"/>
    <w:rsid w:val="009F0B99"/>
    <w:rsid w:val="009F0BCC"/>
    <w:rsid w:val="009F2805"/>
    <w:rsid w:val="009F32BD"/>
    <w:rsid w:val="009F5E14"/>
    <w:rsid w:val="009F6197"/>
    <w:rsid w:val="009F7DDA"/>
    <w:rsid w:val="00A007F2"/>
    <w:rsid w:val="00A00DB2"/>
    <w:rsid w:val="00A01CEB"/>
    <w:rsid w:val="00A032E3"/>
    <w:rsid w:val="00A0360B"/>
    <w:rsid w:val="00A03715"/>
    <w:rsid w:val="00A07F01"/>
    <w:rsid w:val="00A110C0"/>
    <w:rsid w:val="00A11A23"/>
    <w:rsid w:val="00A133AA"/>
    <w:rsid w:val="00A1351B"/>
    <w:rsid w:val="00A14BB7"/>
    <w:rsid w:val="00A1580A"/>
    <w:rsid w:val="00A17711"/>
    <w:rsid w:val="00A20EA0"/>
    <w:rsid w:val="00A2157E"/>
    <w:rsid w:val="00A21C42"/>
    <w:rsid w:val="00A2479D"/>
    <w:rsid w:val="00A24A81"/>
    <w:rsid w:val="00A24F75"/>
    <w:rsid w:val="00A25EAE"/>
    <w:rsid w:val="00A26DFE"/>
    <w:rsid w:val="00A27B93"/>
    <w:rsid w:val="00A30D89"/>
    <w:rsid w:val="00A31C73"/>
    <w:rsid w:val="00A328B2"/>
    <w:rsid w:val="00A337CB"/>
    <w:rsid w:val="00A352DF"/>
    <w:rsid w:val="00A35894"/>
    <w:rsid w:val="00A36F2E"/>
    <w:rsid w:val="00A40656"/>
    <w:rsid w:val="00A40DB5"/>
    <w:rsid w:val="00A426B4"/>
    <w:rsid w:val="00A428F4"/>
    <w:rsid w:val="00A42B99"/>
    <w:rsid w:val="00A43F32"/>
    <w:rsid w:val="00A4418E"/>
    <w:rsid w:val="00A45421"/>
    <w:rsid w:val="00A45DF3"/>
    <w:rsid w:val="00A45E84"/>
    <w:rsid w:val="00A470DF"/>
    <w:rsid w:val="00A47874"/>
    <w:rsid w:val="00A5099E"/>
    <w:rsid w:val="00A52299"/>
    <w:rsid w:val="00A52E88"/>
    <w:rsid w:val="00A536E7"/>
    <w:rsid w:val="00A5593A"/>
    <w:rsid w:val="00A56285"/>
    <w:rsid w:val="00A57252"/>
    <w:rsid w:val="00A57801"/>
    <w:rsid w:val="00A60778"/>
    <w:rsid w:val="00A61FE9"/>
    <w:rsid w:val="00A63C3C"/>
    <w:rsid w:val="00A6505C"/>
    <w:rsid w:val="00A67D36"/>
    <w:rsid w:val="00A71953"/>
    <w:rsid w:val="00A72416"/>
    <w:rsid w:val="00A7262A"/>
    <w:rsid w:val="00A727A8"/>
    <w:rsid w:val="00A72ADA"/>
    <w:rsid w:val="00A733BF"/>
    <w:rsid w:val="00A733F0"/>
    <w:rsid w:val="00A738AE"/>
    <w:rsid w:val="00A73972"/>
    <w:rsid w:val="00A73B0A"/>
    <w:rsid w:val="00A7510E"/>
    <w:rsid w:val="00A7668E"/>
    <w:rsid w:val="00A768D6"/>
    <w:rsid w:val="00A7692A"/>
    <w:rsid w:val="00A8026F"/>
    <w:rsid w:val="00A81268"/>
    <w:rsid w:val="00A8247E"/>
    <w:rsid w:val="00A82E86"/>
    <w:rsid w:val="00A85541"/>
    <w:rsid w:val="00A87530"/>
    <w:rsid w:val="00A87DCE"/>
    <w:rsid w:val="00A9121B"/>
    <w:rsid w:val="00A95C38"/>
    <w:rsid w:val="00A97213"/>
    <w:rsid w:val="00AA0637"/>
    <w:rsid w:val="00AA06BD"/>
    <w:rsid w:val="00AA2E80"/>
    <w:rsid w:val="00AA2EF6"/>
    <w:rsid w:val="00AA40E8"/>
    <w:rsid w:val="00AA5F5D"/>
    <w:rsid w:val="00AA7375"/>
    <w:rsid w:val="00AA759F"/>
    <w:rsid w:val="00AB0EA6"/>
    <w:rsid w:val="00AB5487"/>
    <w:rsid w:val="00AB728C"/>
    <w:rsid w:val="00AB778E"/>
    <w:rsid w:val="00AB7CF3"/>
    <w:rsid w:val="00AC13B7"/>
    <w:rsid w:val="00AC168C"/>
    <w:rsid w:val="00AC1C57"/>
    <w:rsid w:val="00AC2BA4"/>
    <w:rsid w:val="00AC2EC5"/>
    <w:rsid w:val="00AC31E1"/>
    <w:rsid w:val="00AC32B0"/>
    <w:rsid w:val="00AC33EB"/>
    <w:rsid w:val="00AC3633"/>
    <w:rsid w:val="00AC3D77"/>
    <w:rsid w:val="00AC4A6E"/>
    <w:rsid w:val="00AC586F"/>
    <w:rsid w:val="00AC68DB"/>
    <w:rsid w:val="00AC6939"/>
    <w:rsid w:val="00AC6AA0"/>
    <w:rsid w:val="00AC6F97"/>
    <w:rsid w:val="00AD124D"/>
    <w:rsid w:val="00AD12BA"/>
    <w:rsid w:val="00AD1EDB"/>
    <w:rsid w:val="00AD1F84"/>
    <w:rsid w:val="00AD4885"/>
    <w:rsid w:val="00AD51E8"/>
    <w:rsid w:val="00AD69E6"/>
    <w:rsid w:val="00AD719E"/>
    <w:rsid w:val="00AD7576"/>
    <w:rsid w:val="00AD7747"/>
    <w:rsid w:val="00AE083C"/>
    <w:rsid w:val="00AE0C14"/>
    <w:rsid w:val="00AE0E43"/>
    <w:rsid w:val="00AE1020"/>
    <w:rsid w:val="00AE1898"/>
    <w:rsid w:val="00AE194D"/>
    <w:rsid w:val="00AE320B"/>
    <w:rsid w:val="00AE4A17"/>
    <w:rsid w:val="00AE501D"/>
    <w:rsid w:val="00AE5206"/>
    <w:rsid w:val="00AE7BB1"/>
    <w:rsid w:val="00AF09E1"/>
    <w:rsid w:val="00AF1177"/>
    <w:rsid w:val="00AF1405"/>
    <w:rsid w:val="00AF370C"/>
    <w:rsid w:val="00AF5187"/>
    <w:rsid w:val="00AF7000"/>
    <w:rsid w:val="00B0055C"/>
    <w:rsid w:val="00B00E32"/>
    <w:rsid w:val="00B0165E"/>
    <w:rsid w:val="00B01AD0"/>
    <w:rsid w:val="00B0208A"/>
    <w:rsid w:val="00B025F5"/>
    <w:rsid w:val="00B02936"/>
    <w:rsid w:val="00B03AE7"/>
    <w:rsid w:val="00B05C46"/>
    <w:rsid w:val="00B06055"/>
    <w:rsid w:val="00B061F3"/>
    <w:rsid w:val="00B0640E"/>
    <w:rsid w:val="00B13822"/>
    <w:rsid w:val="00B13C07"/>
    <w:rsid w:val="00B147A0"/>
    <w:rsid w:val="00B16B21"/>
    <w:rsid w:val="00B17A70"/>
    <w:rsid w:val="00B201BF"/>
    <w:rsid w:val="00B20DB1"/>
    <w:rsid w:val="00B21E8B"/>
    <w:rsid w:val="00B236C2"/>
    <w:rsid w:val="00B2766F"/>
    <w:rsid w:val="00B31223"/>
    <w:rsid w:val="00B31461"/>
    <w:rsid w:val="00B31DF8"/>
    <w:rsid w:val="00B32235"/>
    <w:rsid w:val="00B3513C"/>
    <w:rsid w:val="00B35162"/>
    <w:rsid w:val="00B36DA8"/>
    <w:rsid w:val="00B37158"/>
    <w:rsid w:val="00B371C8"/>
    <w:rsid w:val="00B3788C"/>
    <w:rsid w:val="00B4067C"/>
    <w:rsid w:val="00B41926"/>
    <w:rsid w:val="00B44B85"/>
    <w:rsid w:val="00B46012"/>
    <w:rsid w:val="00B467D4"/>
    <w:rsid w:val="00B46ECD"/>
    <w:rsid w:val="00B4751C"/>
    <w:rsid w:val="00B47568"/>
    <w:rsid w:val="00B47E5F"/>
    <w:rsid w:val="00B50487"/>
    <w:rsid w:val="00B50A1C"/>
    <w:rsid w:val="00B50EDB"/>
    <w:rsid w:val="00B52D18"/>
    <w:rsid w:val="00B54F0C"/>
    <w:rsid w:val="00B5531C"/>
    <w:rsid w:val="00B55B60"/>
    <w:rsid w:val="00B60D07"/>
    <w:rsid w:val="00B6110C"/>
    <w:rsid w:val="00B611C3"/>
    <w:rsid w:val="00B6270B"/>
    <w:rsid w:val="00B62ED9"/>
    <w:rsid w:val="00B6400D"/>
    <w:rsid w:val="00B64CB2"/>
    <w:rsid w:val="00B6500D"/>
    <w:rsid w:val="00B65270"/>
    <w:rsid w:val="00B67AE3"/>
    <w:rsid w:val="00B70E3F"/>
    <w:rsid w:val="00B735A9"/>
    <w:rsid w:val="00B738D3"/>
    <w:rsid w:val="00B74F12"/>
    <w:rsid w:val="00B76E09"/>
    <w:rsid w:val="00B77596"/>
    <w:rsid w:val="00B7760E"/>
    <w:rsid w:val="00B81531"/>
    <w:rsid w:val="00B81AA9"/>
    <w:rsid w:val="00B83E4C"/>
    <w:rsid w:val="00B85819"/>
    <w:rsid w:val="00B87564"/>
    <w:rsid w:val="00B876E3"/>
    <w:rsid w:val="00B91A5B"/>
    <w:rsid w:val="00B91F3B"/>
    <w:rsid w:val="00B92718"/>
    <w:rsid w:val="00B9276A"/>
    <w:rsid w:val="00B930FD"/>
    <w:rsid w:val="00B94A44"/>
    <w:rsid w:val="00B95D8C"/>
    <w:rsid w:val="00B97629"/>
    <w:rsid w:val="00BA1B50"/>
    <w:rsid w:val="00BA2429"/>
    <w:rsid w:val="00BA3E0C"/>
    <w:rsid w:val="00BA6AAC"/>
    <w:rsid w:val="00BA770E"/>
    <w:rsid w:val="00BA7A8B"/>
    <w:rsid w:val="00BB03DC"/>
    <w:rsid w:val="00BB03DF"/>
    <w:rsid w:val="00BB0541"/>
    <w:rsid w:val="00BB1260"/>
    <w:rsid w:val="00BB16D6"/>
    <w:rsid w:val="00BB1BBB"/>
    <w:rsid w:val="00BB1CDA"/>
    <w:rsid w:val="00BB2D85"/>
    <w:rsid w:val="00BB3B5B"/>
    <w:rsid w:val="00BB49C9"/>
    <w:rsid w:val="00BB5132"/>
    <w:rsid w:val="00BB58D5"/>
    <w:rsid w:val="00BB6F44"/>
    <w:rsid w:val="00BB7A56"/>
    <w:rsid w:val="00BB7A99"/>
    <w:rsid w:val="00BC2BF3"/>
    <w:rsid w:val="00BC3C99"/>
    <w:rsid w:val="00BC5629"/>
    <w:rsid w:val="00BC62C4"/>
    <w:rsid w:val="00BC6783"/>
    <w:rsid w:val="00BD11C9"/>
    <w:rsid w:val="00BD159B"/>
    <w:rsid w:val="00BD2B20"/>
    <w:rsid w:val="00BD3365"/>
    <w:rsid w:val="00BD45C0"/>
    <w:rsid w:val="00BD5520"/>
    <w:rsid w:val="00BD5627"/>
    <w:rsid w:val="00BD58FD"/>
    <w:rsid w:val="00BD5B16"/>
    <w:rsid w:val="00BD7A85"/>
    <w:rsid w:val="00BE098A"/>
    <w:rsid w:val="00BE0AE6"/>
    <w:rsid w:val="00BE0D08"/>
    <w:rsid w:val="00BE16CE"/>
    <w:rsid w:val="00BE2986"/>
    <w:rsid w:val="00BE2ED5"/>
    <w:rsid w:val="00BE3BDF"/>
    <w:rsid w:val="00BE534B"/>
    <w:rsid w:val="00BE61CF"/>
    <w:rsid w:val="00BE6217"/>
    <w:rsid w:val="00BF0A08"/>
    <w:rsid w:val="00BF24CB"/>
    <w:rsid w:val="00BF26F8"/>
    <w:rsid w:val="00BF3059"/>
    <w:rsid w:val="00BF3EDE"/>
    <w:rsid w:val="00BF5863"/>
    <w:rsid w:val="00BF5AA8"/>
    <w:rsid w:val="00BF5AC8"/>
    <w:rsid w:val="00BF638F"/>
    <w:rsid w:val="00BF68EC"/>
    <w:rsid w:val="00BF7624"/>
    <w:rsid w:val="00BF773C"/>
    <w:rsid w:val="00C0002F"/>
    <w:rsid w:val="00C002CE"/>
    <w:rsid w:val="00C00C21"/>
    <w:rsid w:val="00C00C3C"/>
    <w:rsid w:val="00C02BB0"/>
    <w:rsid w:val="00C03CF5"/>
    <w:rsid w:val="00C05B38"/>
    <w:rsid w:val="00C0680A"/>
    <w:rsid w:val="00C07E38"/>
    <w:rsid w:val="00C10BE4"/>
    <w:rsid w:val="00C11410"/>
    <w:rsid w:val="00C12B02"/>
    <w:rsid w:val="00C13AE0"/>
    <w:rsid w:val="00C15EB0"/>
    <w:rsid w:val="00C169DB"/>
    <w:rsid w:val="00C239EE"/>
    <w:rsid w:val="00C24E9A"/>
    <w:rsid w:val="00C2735D"/>
    <w:rsid w:val="00C27B39"/>
    <w:rsid w:val="00C31BF1"/>
    <w:rsid w:val="00C31C25"/>
    <w:rsid w:val="00C320BA"/>
    <w:rsid w:val="00C322F8"/>
    <w:rsid w:val="00C3469B"/>
    <w:rsid w:val="00C348E3"/>
    <w:rsid w:val="00C34D67"/>
    <w:rsid w:val="00C34F02"/>
    <w:rsid w:val="00C350F8"/>
    <w:rsid w:val="00C363FF"/>
    <w:rsid w:val="00C407CA"/>
    <w:rsid w:val="00C41705"/>
    <w:rsid w:val="00C4262D"/>
    <w:rsid w:val="00C42680"/>
    <w:rsid w:val="00C42801"/>
    <w:rsid w:val="00C434F4"/>
    <w:rsid w:val="00C46AF7"/>
    <w:rsid w:val="00C472AE"/>
    <w:rsid w:val="00C521EC"/>
    <w:rsid w:val="00C54AFF"/>
    <w:rsid w:val="00C5598A"/>
    <w:rsid w:val="00C576BB"/>
    <w:rsid w:val="00C607FD"/>
    <w:rsid w:val="00C60B2C"/>
    <w:rsid w:val="00C6413D"/>
    <w:rsid w:val="00C64973"/>
    <w:rsid w:val="00C64ACA"/>
    <w:rsid w:val="00C6638E"/>
    <w:rsid w:val="00C66919"/>
    <w:rsid w:val="00C6703B"/>
    <w:rsid w:val="00C6775D"/>
    <w:rsid w:val="00C72222"/>
    <w:rsid w:val="00C73FD6"/>
    <w:rsid w:val="00C77D4B"/>
    <w:rsid w:val="00C77E2F"/>
    <w:rsid w:val="00C81507"/>
    <w:rsid w:val="00C829EB"/>
    <w:rsid w:val="00C83399"/>
    <w:rsid w:val="00C842FC"/>
    <w:rsid w:val="00C8542D"/>
    <w:rsid w:val="00C85746"/>
    <w:rsid w:val="00C857C1"/>
    <w:rsid w:val="00C85EDD"/>
    <w:rsid w:val="00C86FE3"/>
    <w:rsid w:val="00C872BD"/>
    <w:rsid w:val="00C87442"/>
    <w:rsid w:val="00C87D84"/>
    <w:rsid w:val="00C90EC3"/>
    <w:rsid w:val="00C927B1"/>
    <w:rsid w:val="00C95431"/>
    <w:rsid w:val="00C9723B"/>
    <w:rsid w:val="00CA0161"/>
    <w:rsid w:val="00CA01B9"/>
    <w:rsid w:val="00CA0447"/>
    <w:rsid w:val="00CA130F"/>
    <w:rsid w:val="00CA2871"/>
    <w:rsid w:val="00CA35EE"/>
    <w:rsid w:val="00CA41EC"/>
    <w:rsid w:val="00CA4454"/>
    <w:rsid w:val="00CA4D4C"/>
    <w:rsid w:val="00CA58E2"/>
    <w:rsid w:val="00CA5C53"/>
    <w:rsid w:val="00CA6293"/>
    <w:rsid w:val="00CA668D"/>
    <w:rsid w:val="00CA716A"/>
    <w:rsid w:val="00CB0A6D"/>
    <w:rsid w:val="00CB0A93"/>
    <w:rsid w:val="00CB1295"/>
    <w:rsid w:val="00CB2368"/>
    <w:rsid w:val="00CB2AB8"/>
    <w:rsid w:val="00CB2E29"/>
    <w:rsid w:val="00CB3E29"/>
    <w:rsid w:val="00CB55EC"/>
    <w:rsid w:val="00CB71FE"/>
    <w:rsid w:val="00CC07AE"/>
    <w:rsid w:val="00CC0BAB"/>
    <w:rsid w:val="00CC2CA5"/>
    <w:rsid w:val="00CC2F52"/>
    <w:rsid w:val="00CC530E"/>
    <w:rsid w:val="00CC5FD7"/>
    <w:rsid w:val="00CC79B2"/>
    <w:rsid w:val="00CD00C8"/>
    <w:rsid w:val="00CD2FEA"/>
    <w:rsid w:val="00CD3388"/>
    <w:rsid w:val="00CD360D"/>
    <w:rsid w:val="00CD3D96"/>
    <w:rsid w:val="00CD40D9"/>
    <w:rsid w:val="00CD6257"/>
    <w:rsid w:val="00CE000F"/>
    <w:rsid w:val="00CE0CC4"/>
    <w:rsid w:val="00CE16BF"/>
    <w:rsid w:val="00CE189E"/>
    <w:rsid w:val="00CE219D"/>
    <w:rsid w:val="00CE250A"/>
    <w:rsid w:val="00CE428E"/>
    <w:rsid w:val="00CE5689"/>
    <w:rsid w:val="00CE5847"/>
    <w:rsid w:val="00CE5E26"/>
    <w:rsid w:val="00CE697F"/>
    <w:rsid w:val="00CE7EEA"/>
    <w:rsid w:val="00CF1065"/>
    <w:rsid w:val="00CF1F02"/>
    <w:rsid w:val="00CF243C"/>
    <w:rsid w:val="00CF45BD"/>
    <w:rsid w:val="00CF487C"/>
    <w:rsid w:val="00CF4B3A"/>
    <w:rsid w:val="00CF5B35"/>
    <w:rsid w:val="00CF6BE0"/>
    <w:rsid w:val="00D027CE"/>
    <w:rsid w:val="00D032BA"/>
    <w:rsid w:val="00D036B7"/>
    <w:rsid w:val="00D03C7B"/>
    <w:rsid w:val="00D05DD1"/>
    <w:rsid w:val="00D06286"/>
    <w:rsid w:val="00D062CF"/>
    <w:rsid w:val="00D06460"/>
    <w:rsid w:val="00D06ADD"/>
    <w:rsid w:val="00D06E0D"/>
    <w:rsid w:val="00D0721F"/>
    <w:rsid w:val="00D07D92"/>
    <w:rsid w:val="00D105DE"/>
    <w:rsid w:val="00D1239A"/>
    <w:rsid w:val="00D126F1"/>
    <w:rsid w:val="00D12D71"/>
    <w:rsid w:val="00D13C8F"/>
    <w:rsid w:val="00D13E60"/>
    <w:rsid w:val="00D14377"/>
    <w:rsid w:val="00D157B3"/>
    <w:rsid w:val="00D171D2"/>
    <w:rsid w:val="00D174E4"/>
    <w:rsid w:val="00D2106E"/>
    <w:rsid w:val="00D2255F"/>
    <w:rsid w:val="00D23598"/>
    <w:rsid w:val="00D25C63"/>
    <w:rsid w:val="00D26402"/>
    <w:rsid w:val="00D26A72"/>
    <w:rsid w:val="00D26E28"/>
    <w:rsid w:val="00D27798"/>
    <w:rsid w:val="00D340C5"/>
    <w:rsid w:val="00D341A9"/>
    <w:rsid w:val="00D34679"/>
    <w:rsid w:val="00D3692D"/>
    <w:rsid w:val="00D408A4"/>
    <w:rsid w:val="00D40A64"/>
    <w:rsid w:val="00D4276D"/>
    <w:rsid w:val="00D42BC5"/>
    <w:rsid w:val="00D47265"/>
    <w:rsid w:val="00D50FA5"/>
    <w:rsid w:val="00D51CC2"/>
    <w:rsid w:val="00D526F0"/>
    <w:rsid w:val="00D53A42"/>
    <w:rsid w:val="00D54258"/>
    <w:rsid w:val="00D56BB6"/>
    <w:rsid w:val="00D570E7"/>
    <w:rsid w:val="00D617C4"/>
    <w:rsid w:val="00D63982"/>
    <w:rsid w:val="00D645B7"/>
    <w:rsid w:val="00D66617"/>
    <w:rsid w:val="00D673B6"/>
    <w:rsid w:val="00D703D6"/>
    <w:rsid w:val="00D71776"/>
    <w:rsid w:val="00D71D85"/>
    <w:rsid w:val="00D72CAB"/>
    <w:rsid w:val="00D72E36"/>
    <w:rsid w:val="00D72F4E"/>
    <w:rsid w:val="00D74264"/>
    <w:rsid w:val="00D74BDB"/>
    <w:rsid w:val="00D775A9"/>
    <w:rsid w:val="00D77BD6"/>
    <w:rsid w:val="00D807EF"/>
    <w:rsid w:val="00D83514"/>
    <w:rsid w:val="00D83FA3"/>
    <w:rsid w:val="00D876DE"/>
    <w:rsid w:val="00D87EEA"/>
    <w:rsid w:val="00D90909"/>
    <w:rsid w:val="00D90F3C"/>
    <w:rsid w:val="00D929DD"/>
    <w:rsid w:val="00D9419B"/>
    <w:rsid w:val="00D948F2"/>
    <w:rsid w:val="00D95BB5"/>
    <w:rsid w:val="00D9673C"/>
    <w:rsid w:val="00D96D40"/>
    <w:rsid w:val="00DA0455"/>
    <w:rsid w:val="00DA051E"/>
    <w:rsid w:val="00DA06EC"/>
    <w:rsid w:val="00DA1AC3"/>
    <w:rsid w:val="00DA2590"/>
    <w:rsid w:val="00DA3364"/>
    <w:rsid w:val="00DA5822"/>
    <w:rsid w:val="00DA59AB"/>
    <w:rsid w:val="00DA5A0D"/>
    <w:rsid w:val="00DB109F"/>
    <w:rsid w:val="00DB1393"/>
    <w:rsid w:val="00DB2497"/>
    <w:rsid w:val="00DB28C6"/>
    <w:rsid w:val="00DB298C"/>
    <w:rsid w:val="00DB55B3"/>
    <w:rsid w:val="00DB5CF1"/>
    <w:rsid w:val="00DB6D53"/>
    <w:rsid w:val="00DC0416"/>
    <w:rsid w:val="00DC04C2"/>
    <w:rsid w:val="00DC06BF"/>
    <w:rsid w:val="00DC0911"/>
    <w:rsid w:val="00DC25B4"/>
    <w:rsid w:val="00DC26B4"/>
    <w:rsid w:val="00DC34C4"/>
    <w:rsid w:val="00DC4187"/>
    <w:rsid w:val="00DD0729"/>
    <w:rsid w:val="00DD1072"/>
    <w:rsid w:val="00DD21AE"/>
    <w:rsid w:val="00DD31C4"/>
    <w:rsid w:val="00DD3616"/>
    <w:rsid w:val="00DE0D57"/>
    <w:rsid w:val="00DE208A"/>
    <w:rsid w:val="00DE3158"/>
    <w:rsid w:val="00DE33DF"/>
    <w:rsid w:val="00DE4C95"/>
    <w:rsid w:val="00DE4D8F"/>
    <w:rsid w:val="00DE4DB9"/>
    <w:rsid w:val="00DE6309"/>
    <w:rsid w:val="00DE6A17"/>
    <w:rsid w:val="00DE6A18"/>
    <w:rsid w:val="00DE6E4A"/>
    <w:rsid w:val="00DE77A9"/>
    <w:rsid w:val="00DF2001"/>
    <w:rsid w:val="00DF2609"/>
    <w:rsid w:val="00DF2BCE"/>
    <w:rsid w:val="00DF4965"/>
    <w:rsid w:val="00DF5864"/>
    <w:rsid w:val="00DF62B6"/>
    <w:rsid w:val="00DF67DB"/>
    <w:rsid w:val="00E00D2E"/>
    <w:rsid w:val="00E022BB"/>
    <w:rsid w:val="00E0364F"/>
    <w:rsid w:val="00E048F5"/>
    <w:rsid w:val="00E068E8"/>
    <w:rsid w:val="00E06B1F"/>
    <w:rsid w:val="00E06E43"/>
    <w:rsid w:val="00E07F89"/>
    <w:rsid w:val="00E10709"/>
    <w:rsid w:val="00E108BB"/>
    <w:rsid w:val="00E11258"/>
    <w:rsid w:val="00E14096"/>
    <w:rsid w:val="00E142B5"/>
    <w:rsid w:val="00E14359"/>
    <w:rsid w:val="00E15AD4"/>
    <w:rsid w:val="00E15C10"/>
    <w:rsid w:val="00E1660E"/>
    <w:rsid w:val="00E16CEA"/>
    <w:rsid w:val="00E16E21"/>
    <w:rsid w:val="00E17444"/>
    <w:rsid w:val="00E175AC"/>
    <w:rsid w:val="00E21F58"/>
    <w:rsid w:val="00E2224C"/>
    <w:rsid w:val="00E23140"/>
    <w:rsid w:val="00E24517"/>
    <w:rsid w:val="00E31601"/>
    <w:rsid w:val="00E32CFF"/>
    <w:rsid w:val="00E339DF"/>
    <w:rsid w:val="00E34388"/>
    <w:rsid w:val="00E35983"/>
    <w:rsid w:val="00E36475"/>
    <w:rsid w:val="00E36A48"/>
    <w:rsid w:val="00E3799D"/>
    <w:rsid w:val="00E37E4F"/>
    <w:rsid w:val="00E37FBA"/>
    <w:rsid w:val="00E40A8C"/>
    <w:rsid w:val="00E40E88"/>
    <w:rsid w:val="00E41842"/>
    <w:rsid w:val="00E41C74"/>
    <w:rsid w:val="00E421A9"/>
    <w:rsid w:val="00E43AB4"/>
    <w:rsid w:val="00E44CBC"/>
    <w:rsid w:val="00E455D8"/>
    <w:rsid w:val="00E4567C"/>
    <w:rsid w:val="00E46C40"/>
    <w:rsid w:val="00E47748"/>
    <w:rsid w:val="00E47DB0"/>
    <w:rsid w:val="00E47E99"/>
    <w:rsid w:val="00E47F80"/>
    <w:rsid w:val="00E51ED7"/>
    <w:rsid w:val="00E52442"/>
    <w:rsid w:val="00E52B6F"/>
    <w:rsid w:val="00E54B76"/>
    <w:rsid w:val="00E55538"/>
    <w:rsid w:val="00E60259"/>
    <w:rsid w:val="00E60EB6"/>
    <w:rsid w:val="00E63074"/>
    <w:rsid w:val="00E633FD"/>
    <w:rsid w:val="00E634F5"/>
    <w:rsid w:val="00E635A7"/>
    <w:rsid w:val="00E639EC"/>
    <w:rsid w:val="00E63CCB"/>
    <w:rsid w:val="00E64361"/>
    <w:rsid w:val="00E643BA"/>
    <w:rsid w:val="00E64D04"/>
    <w:rsid w:val="00E64D5D"/>
    <w:rsid w:val="00E65B3C"/>
    <w:rsid w:val="00E65C82"/>
    <w:rsid w:val="00E65D46"/>
    <w:rsid w:val="00E67ECA"/>
    <w:rsid w:val="00E7149C"/>
    <w:rsid w:val="00E71834"/>
    <w:rsid w:val="00E71899"/>
    <w:rsid w:val="00E72178"/>
    <w:rsid w:val="00E72D8A"/>
    <w:rsid w:val="00E72D92"/>
    <w:rsid w:val="00E75734"/>
    <w:rsid w:val="00E75B4A"/>
    <w:rsid w:val="00E764F8"/>
    <w:rsid w:val="00E80582"/>
    <w:rsid w:val="00E8070D"/>
    <w:rsid w:val="00E81F65"/>
    <w:rsid w:val="00E82AC0"/>
    <w:rsid w:val="00E82B79"/>
    <w:rsid w:val="00E830B2"/>
    <w:rsid w:val="00E83301"/>
    <w:rsid w:val="00E83A4F"/>
    <w:rsid w:val="00E83FF7"/>
    <w:rsid w:val="00E851A7"/>
    <w:rsid w:val="00E8623D"/>
    <w:rsid w:val="00E86A71"/>
    <w:rsid w:val="00E86D2E"/>
    <w:rsid w:val="00E871CC"/>
    <w:rsid w:val="00E87E95"/>
    <w:rsid w:val="00E908DA"/>
    <w:rsid w:val="00E912FD"/>
    <w:rsid w:val="00E91A2C"/>
    <w:rsid w:val="00E91B81"/>
    <w:rsid w:val="00E922D7"/>
    <w:rsid w:val="00E92987"/>
    <w:rsid w:val="00E92BA8"/>
    <w:rsid w:val="00E9494A"/>
    <w:rsid w:val="00E95FBF"/>
    <w:rsid w:val="00E96D66"/>
    <w:rsid w:val="00E971CB"/>
    <w:rsid w:val="00E97512"/>
    <w:rsid w:val="00EA10C2"/>
    <w:rsid w:val="00EA177C"/>
    <w:rsid w:val="00EA20EC"/>
    <w:rsid w:val="00EA2BA6"/>
    <w:rsid w:val="00EA2E3B"/>
    <w:rsid w:val="00EA3B60"/>
    <w:rsid w:val="00EA3FB2"/>
    <w:rsid w:val="00EA4A16"/>
    <w:rsid w:val="00EA4DFF"/>
    <w:rsid w:val="00EA4F6A"/>
    <w:rsid w:val="00EA624A"/>
    <w:rsid w:val="00EA65E7"/>
    <w:rsid w:val="00EA67A9"/>
    <w:rsid w:val="00EA6D14"/>
    <w:rsid w:val="00EA770A"/>
    <w:rsid w:val="00EB0485"/>
    <w:rsid w:val="00EB04AE"/>
    <w:rsid w:val="00EB1F16"/>
    <w:rsid w:val="00EB4EC6"/>
    <w:rsid w:val="00EB5AE1"/>
    <w:rsid w:val="00EB6B04"/>
    <w:rsid w:val="00EC0585"/>
    <w:rsid w:val="00EC107C"/>
    <w:rsid w:val="00EC1855"/>
    <w:rsid w:val="00EC3307"/>
    <w:rsid w:val="00EC5C42"/>
    <w:rsid w:val="00EC5CA2"/>
    <w:rsid w:val="00EC5ED5"/>
    <w:rsid w:val="00EC726C"/>
    <w:rsid w:val="00ED1F79"/>
    <w:rsid w:val="00ED300E"/>
    <w:rsid w:val="00ED3821"/>
    <w:rsid w:val="00ED3B0A"/>
    <w:rsid w:val="00ED6BE5"/>
    <w:rsid w:val="00ED6EEE"/>
    <w:rsid w:val="00ED7B8C"/>
    <w:rsid w:val="00EE00D0"/>
    <w:rsid w:val="00EE0943"/>
    <w:rsid w:val="00EE0BDF"/>
    <w:rsid w:val="00EE16FA"/>
    <w:rsid w:val="00EE4581"/>
    <w:rsid w:val="00EE5508"/>
    <w:rsid w:val="00EE6493"/>
    <w:rsid w:val="00EE6495"/>
    <w:rsid w:val="00EE7A4C"/>
    <w:rsid w:val="00EF3C87"/>
    <w:rsid w:val="00EF3D95"/>
    <w:rsid w:val="00EF3FD6"/>
    <w:rsid w:val="00EF401E"/>
    <w:rsid w:val="00EF7BA4"/>
    <w:rsid w:val="00EF7C79"/>
    <w:rsid w:val="00F020A5"/>
    <w:rsid w:val="00F027B3"/>
    <w:rsid w:val="00F04133"/>
    <w:rsid w:val="00F04EEE"/>
    <w:rsid w:val="00F051D1"/>
    <w:rsid w:val="00F070BD"/>
    <w:rsid w:val="00F07A91"/>
    <w:rsid w:val="00F1129D"/>
    <w:rsid w:val="00F113DC"/>
    <w:rsid w:val="00F1146C"/>
    <w:rsid w:val="00F116D3"/>
    <w:rsid w:val="00F123EF"/>
    <w:rsid w:val="00F13413"/>
    <w:rsid w:val="00F13EA2"/>
    <w:rsid w:val="00F1437D"/>
    <w:rsid w:val="00F14644"/>
    <w:rsid w:val="00F17469"/>
    <w:rsid w:val="00F203DE"/>
    <w:rsid w:val="00F20EE0"/>
    <w:rsid w:val="00F22220"/>
    <w:rsid w:val="00F22852"/>
    <w:rsid w:val="00F22ABB"/>
    <w:rsid w:val="00F23356"/>
    <w:rsid w:val="00F25BEA"/>
    <w:rsid w:val="00F270FC"/>
    <w:rsid w:val="00F27A60"/>
    <w:rsid w:val="00F326F0"/>
    <w:rsid w:val="00F330BB"/>
    <w:rsid w:val="00F335E9"/>
    <w:rsid w:val="00F33936"/>
    <w:rsid w:val="00F34626"/>
    <w:rsid w:val="00F34D1D"/>
    <w:rsid w:val="00F35D9C"/>
    <w:rsid w:val="00F36A52"/>
    <w:rsid w:val="00F37F23"/>
    <w:rsid w:val="00F4327F"/>
    <w:rsid w:val="00F4569A"/>
    <w:rsid w:val="00F460CD"/>
    <w:rsid w:val="00F46122"/>
    <w:rsid w:val="00F46F99"/>
    <w:rsid w:val="00F46FCB"/>
    <w:rsid w:val="00F47651"/>
    <w:rsid w:val="00F507A9"/>
    <w:rsid w:val="00F50A0B"/>
    <w:rsid w:val="00F57E35"/>
    <w:rsid w:val="00F57F5A"/>
    <w:rsid w:val="00F60689"/>
    <w:rsid w:val="00F632F2"/>
    <w:rsid w:val="00F6492E"/>
    <w:rsid w:val="00F65A24"/>
    <w:rsid w:val="00F65D0D"/>
    <w:rsid w:val="00F7062F"/>
    <w:rsid w:val="00F7110B"/>
    <w:rsid w:val="00F715B5"/>
    <w:rsid w:val="00F72B2E"/>
    <w:rsid w:val="00F72C48"/>
    <w:rsid w:val="00F73524"/>
    <w:rsid w:val="00F75B1B"/>
    <w:rsid w:val="00F75F36"/>
    <w:rsid w:val="00F7689C"/>
    <w:rsid w:val="00F77FEA"/>
    <w:rsid w:val="00F80053"/>
    <w:rsid w:val="00F80354"/>
    <w:rsid w:val="00F80BBF"/>
    <w:rsid w:val="00F84A9F"/>
    <w:rsid w:val="00F84D6E"/>
    <w:rsid w:val="00F8781E"/>
    <w:rsid w:val="00F87C98"/>
    <w:rsid w:val="00F87E26"/>
    <w:rsid w:val="00F90076"/>
    <w:rsid w:val="00F90970"/>
    <w:rsid w:val="00F90A04"/>
    <w:rsid w:val="00F913CF"/>
    <w:rsid w:val="00F918F8"/>
    <w:rsid w:val="00F935D2"/>
    <w:rsid w:val="00F947B9"/>
    <w:rsid w:val="00F967B0"/>
    <w:rsid w:val="00F97475"/>
    <w:rsid w:val="00F97932"/>
    <w:rsid w:val="00FA1F79"/>
    <w:rsid w:val="00FA3381"/>
    <w:rsid w:val="00FA47B1"/>
    <w:rsid w:val="00FA4A7D"/>
    <w:rsid w:val="00FA75C7"/>
    <w:rsid w:val="00FA7F19"/>
    <w:rsid w:val="00FB05E8"/>
    <w:rsid w:val="00FB0F0A"/>
    <w:rsid w:val="00FB1CAC"/>
    <w:rsid w:val="00FB2008"/>
    <w:rsid w:val="00FB4009"/>
    <w:rsid w:val="00FB42B7"/>
    <w:rsid w:val="00FB57D8"/>
    <w:rsid w:val="00FB5C46"/>
    <w:rsid w:val="00FB6376"/>
    <w:rsid w:val="00FB731D"/>
    <w:rsid w:val="00FB78B4"/>
    <w:rsid w:val="00FC111B"/>
    <w:rsid w:val="00FC2671"/>
    <w:rsid w:val="00FC2B60"/>
    <w:rsid w:val="00FC2B66"/>
    <w:rsid w:val="00FC3071"/>
    <w:rsid w:val="00FC4AE9"/>
    <w:rsid w:val="00FC590F"/>
    <w:rsid w:val="00FC6092"/>
    <w:rsid w:val="00FD14FA"/>
    <w:rsid w:val="00FD2297"/>
    <w:rsid w:val="00FD32AC"/>
    <w:rsid w:val="00FD4B36"/>
    <w:rsid w:val="00FD608B"/>
    <w:rsid w:val="00FD71EE"/>
    <w:rsid w:val="00FD73EA"/>
    <w:rsid w:val="00FD7B75"/>
    <w:rsid w:val="00FE234B"/>
    <w:rsid w:val="00FE237C"/>
    <w:rsid w:val="00FE3866"/>
    <w:rsid w:val="00FE40FE"/>
    <w:rsid w:val="00FE4914"/>
    <w:rsid w:val="00FE5E95"/>
    <w:rsid w:val="00FE5FA4"/>
    <w:rsid w:val="00FF1E58"/>
    <w:rsid w:val="00FF2D87"/>
    <w:rsid w:val="00FF3907"/>
    <w:rsid w:val="00FF5313"/>
    <w:rsid w:val="00FF6371"/>
    <w:rsid w:val="00FF69E7"/>
    <w:rsid w:val="00FF7096"/>
    <w:rsid w:val="00FF7970"/>
    <w:rsid w:val="02D47AD3"/>
    <w:rsid w:val="03713B42"/>
    <w:rsid w:val="094B2347"/>
    <w:rsid w:val="098E7309"/>
    <w:rsid w:val="0A332C08"/>
    <w:rsid w:val="0AF36689"/>
    <w:rsid w:val="0DB945A2"/>
    <w:rsid w:val="0FEF7F3F"/>
    <w:rsid w:val="117319E5"/>
    <w:rsid w:val="124B6A13"/>
    <w:rsid w:val="142B435A"/>
    <w:rsid w:val="14A22DB1"/>
    <w:rsid w:val="14B55BE8"/>
    <w:rsid w:val="14D25C8A"/>
    <w:rsid w:val="14EA2257"/>
    <w:rsid w:val="153743B8"/>
    <w:rsid w:val="15D33D5D"/>
    <w:rsid w:val="1AFC4CD5"/>
    <w:rsid w:val="1BC63C9C"/>
    <w:rsid w:val="1D21576E"/>
    <w:rsid w:val="1DFE5F49"/>
    <w:rsid w:val="22050913"/>
    <w:rsid w:val="228F13FA"/>
    <w:rsid w:val="23311115"/>
    <w:rsid w:val="23D57624"/>
    <w:rsid w:val="23F84CF1"/>
    <w:rsid w:val="24FE17CC"/>
    <w:rsid w:val="27C157FA"/>
    <w:rsid w:val="292D744A"/>
    <w:rsid w:val="2A6859D2"/>
    <w:rsid w:val="2B2777E8"/>
    <w:rsid w:val="2E733D6E"/>
    <w:rsid w:val="2E7C330E"/>
    <w:rsid w:val="2F3B204F"/>
    <w:rsid w:val="31245EF4"/>
    <w:rsid w:val="370E4DAD"/>
    <w:rsid w:val="376A5534"/>
    <w:rsid w:val="37A6461D"/>
    <w:rsid w:val="380929F8"/>
    <w:rsid w:val="397E1EE3"/>
    <w:rsid w:val="3B1061FD"/>
    <w:rsid w:val="3BB85C4E"/>
    <w:rsid w:val="3FEF2412"/>
    <w:rsid w:val="43EB0093"/>
    <w:rsid w:val="456F10D9"/>
    <w:rsid w:val="4C0174C7"/>
    <w:rsid w:val="4C8B3B10"/>
    <w:rsid w:val="4F1D6A04"/>
    <w:rsid w:val="4F7F2550"/>
    <w:rsid w:val="51387D53"/>
    <w:rsid w:val="51517A15"/>
    <w:rsid w:val="55C20D87"/>
    <w:rsid w:val="58A77C6C"/>
    <w:rsid w:val="593B777C"/>
    <w:rsid w:val="5AFC06D0"/>
    <w:rsid w:val="5CC91F62"/>
    <w:rsid w:val="5F635593"/>
    <w:rsid w:val="6270343C"/>
    <w:rsid w:val="631073A6"/>
    <w:rsid w:val="63225B40"/>
    <w:rsid w:val="640D4098"/>
    <w:rsid w:val="670A5C8D"/>
    <w:rsid w:val="674D2E49"/>
    <w:rsid w:val="67F7282C"/>
    <w:rsid w:val="681672CF"/>
    <w:rsid w:val="68EE62FD"/>
    <w:rsid w:val="6BF40319"/>
    <w:rsid w:val="6EAB260A"/>
    <w:rsid w:val="73856A2B"/>
    <w:rsid w:val="74E674F8"/>
    <w:rsid w:val="76FC6319"/>
    <w:rsid w:val="78F00D5F"/>
    <w:rsid w:val="7A4168B5"/>
    <w:rsid w:val="7DDA1DE0"/>
    <w:rsid w:val="D7B07854"/>
    <w:rsid w:val="FF78C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1"/>
    <w:qFormat/>
    <w:uiPriority w:val="0"/>
    <w:pPr>
      <w:keepNext/>
      <w:spacing w:beforeLines="50" w:afterLines="50"/>
      <w:outlineLvl w:val="0"/>
    </w:pPr>
    <w:rPr>
      <w:rFonts w:ascii="黑体" w:eastAsia="黑体"/>
      <w:b/>
      <w:iCs/>
    </w:rPr>
  </w:style>
  <w:style w:type="paragraph" w:styleId="3">
    <w:name w:val="heading 2"/>
    <w:basedOn w:val="1"/>
    <w:next w:val="1"/>
    <w:link w:val="99"/>
    <w:qFormat/>
    <w:uiPriority w:val="0"/>
    <w:pPr>
      <w:keepNext/>
      <w:keepLines/>
      <w:spacing w:line="276" w:lineRule="auto"/>
      <w:outlineLvl w:val="1"/>
    </w:pPr>
    <w:rPr>
      <w:rFonts w:ascii="黑体" w:hAnsi="Arial" w:eastAsia="黑体"/>
      <w:b/>
      <w:bCs/>
      <w:szCs w:val="32"/>
    </w:rPr>
  </w:style>
  <w:style w:type="paragraph" w:styleId="4">
    <w:name w:val="heading 3"/>
    <w:basedOn w:val="1"/>
    <w:next w:val="1"/>
    <w:link w:val="103"/>
    <w:qFormat/>
    <w:uiPriority w:val="0"/>
    <w:pPr>
      <w:keepNext/>
      <w:keepLines/>
      <w:jc w:val="center"/>
      <w:outlineLvl w:val="2"/>
    </w:pPr>
    <w:rPr>
      <w:rFonts w:ascii="黑体" w:eastAsia="黑体"/>
      <w:b/>
      <w:bCs/>
      <w:szCs w:val="32"/>
    </w:rPr>
  </w:style>
  <w:style w:type="paragraph" w:styleId="5">
    <w:name w:val="heading 5"/>
    <w:basedOn w:val="1"/>
    <w:next w:val="1"/>
    <w:link w:val="39"/>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Normal Indent"/>
    <w:basedOn w:val="1"/>
    <w:qFormat/>
    <w:uiPriority w:val="0"/>
    <w:pPr>
      <w:ind w:firstLine="420"/>
    </w:pPr>
    <w:rPr>
      <w:szCs w:val="20"/>
    </w:rPr>
  </w:style>
  <w:style w:type="paragraph" w:styleId="8">
    <w:name w:val="caption"/>
    <w:basedOn w:val="1"/>
    <w:next w:val="1"/>
    <w:qFormat/>
    <w:uiPriority w:val="0"/>
    <w:pPr>
      <w:jc w:val="center"/>
    </w:pPr>
    <w:rPr>
      <w:rFonts w:ascii="黑体" w:hAnsi="Arial" w:eastAsia="黑体" w:cs="Arial"/>
      <w:bCs/>
      <w:szCs w:val="20"/>
    </w:rPr>
  </w:style>
  <w:style w:type="paragraph" w:styleId="9">
    <w:name w:val="annotation text"/>
    <w:basedOn w:val="1"/>
    <w:link w:val="40"/>
    <w:qFormat/>
    <w:uiPriority w:val="0"/>
    <w:rPr>
      <w:sz w:val="20"/>
      <w:szCs w:val="20"/>
    </w:rPr>
  </w:style>
  <w:style w:type="paragraph" w:styleId="10">
    <w:name w:val="Body Text"/>
    <w:basedOn w:val="1"/>
    <w:link w:val="41"/>
    <w:qFormat/>
    <w:uiPriority w:val="0"/>
    <w:pPr>
      <w:spacing w:after="120"/>
    </w:pPr>
  </w:style>
  <w:style w:type="paragraph" w:styleId="11">
    <w:name w:val="Body Text Indent"/>
    <w:basedOn w:val="1"/>
    <w:qFormat/>
    <w:uiPriority w:val="0"/>
    <w:pPr>
      <w:spacing w:after="120"/>
      <w:ind w:left="420" w:leftChars="200"/>
    </w:pPr>
  </w:style>
  <w:style w:type="paragraph" w:styleId="12">
    <w:name w:val="index 4"/>
    <w:basedOn w:val="1"/>
    <w:next w:val="1"/>
    <w:unhideWhenUsed/>
    <w:qFormat/>
    <w:uiPriority w:val="0"/>
    <w:pPr>
      <w:ind w:left="600" w:leftChars="600"/>
    </w:pPr>
  </w:style>
  <w:style w:type="paragraph" w:styleId="13">
    <w:name w:val="toc 5"/>
    <w:basedOn w:val="1"/>
    <w:next w:val="1"/>
    <w:semiHidden/>
    <w:qFormat/>
    <w:uiPriority w:val="0"/>
    <w:pPr>
      <w:ind w:left="1680" w:leftChars="800"/>
    </w:pPr>
  </w:style>
  <w:style w:type="paragraph" w:styleId="14">
    <w:name w:val="toc 3"/>
    <w:basedOn w:val="1"/>
    <w:next w:val="1"/>
    <w:qFormat/>
    <w:uiPriority w:val="39"/>
    <w:pPr>
      <w:ind w:left="840" w:leftChars="400"/>
    </w:pPr>
  </w:style>
  <w:style w:type="paragraph" w:styleId="15">
    <w:name w:val="toc 8"/>
    <w:basedOn w:val="1"/>
    <w:next w:val="1"/>
    <w:semiHidden/>
    <w:qFormat/>
    <w:uiPriority w:val="0"/>
    <w:pPr>
      <w:ind w:left="2940" w:leftChars="1400"/>
    </w:pPr>
  </w:style>
  <w:style w:type="paragraph" w:styleId="16">
    <w:name w:val="Date"/>
    <w:basedOn w:val="1"/>
    <w:next w:val="1"/>
    <w:qFormat/>
    <w:uiPriority w:val="0"/>
    <w:pPr>
      <w:ind w:left="100" w:leftChars="2500"/>
    </w:pPr>
  </w:style>
  <w:style w:type="paragraph" w:styleId="17">
    <w:name w:val="Body Text Indent 2"/>
    <w:basedOn w:val="1"/>
    <w:qFormat/>
    <w:uiPriority w:val="0"/>
    <w:pPr>
      <w:spacing w:line="252" w:lineRule="auto"/>
      <w:ind w:firstLine="437"/>
    </w:pPr>
  </w:style>
  <w:style w:type="paragraph" w:styleId="18">
    <w:name w:val="Balloon Text"/>
    <w:basedOn w:val="1"/>
    <w:link w:val="42"/>
    <w:semiHidden/>
    <w:qFormat/>
    <w:uiPriority w:val="99"/>
    <w:rPr>
      <w:sz w:val="18"/>
      <w:szCs w:val="18"/>
    </w:rPr>
  </w:style>
  <w:style w:type="paragraph" w:styleId="19">
    <w:name w:val="footer"/>
    <w:basedOn w:val="1"/>
    <w:link w:val="43"/>
    <w:qFormat/>
    <w:uiPriority w:val="99"/>
    <w:pPr>
      <w:tabs>
        <w:tab w:val="center" w:pos="4153"/>
        <w:tab w:val="right" w:pos="8306"/>
      </w:tabs>
      <w:snapToGrid w:val="0"/>
      <w:jc w:val="left"/>
    </w:pPr>
    <w:rPr>
      <w:sz w:val="18"/>
      <w:szCs w:val="18"/>
    </w:rPr>
  </w:style>
  <w:style w:type="paragraph" w:styleId="20">
    <w:name w:val="header"/>
    <w:basedOn w:val="1"/>
    <w:link w:val="44"/>
    <w:qFormat/>
    <w:uiPriority w:val="99"/>
    <w:pP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429"/>
      </w:tabs>
      <w:spacing w:line="245" w:lineRule="auto"/>
    </w:pPr>
  </w:style>
  <w:style w:type="paragraph" w:styleId="22">
    <w:name w:val="toc 4"/>
    <w:basedOn w:val="1"/>
    <w:next w:val="1"/>
    <w:semiHidden/>
    <w:qFormat/>
    <w:uiPriority w:val="0"/>
    <w:pPr>
      <w:ind w:left="1260" w:leftChars="600"/>
    </w:pPr>
  </w:style>
  <w:style w:type="paragraph" w:styleId="23">
    <w:name w:val="toc 6"/>
    <w:basedOn w:val="1"/>
    <w:next w:val="1"/>
    <w:semiHidden/>
    <w:qFormat/>
    <w:uiPriority w:val="0"/>
    <w:pPr>
      <w:ind w:left="2100" w:leftChars="1000"/>
    </w:pPr>
  </w:style>
  <w:style w:type="paragraph" w:styleId="24">
    <w:name w:val="table of figures"/>
    <w:basedOn w:val="1"/>
    <w:next w:val="1"/>
    <w:semiHidden/>
    <w:qFormat/>
    <w:uiPriority w:val="0"/>
  </w:style>
  <w:style w:type="paragraph" w:styleId="25">
    <w:name w:val="toc 2"/>
    <w:basedOn w:val="1"/>
    <w:next w:val="1"/>
    <w:qFormat/>
    <w:uiPriority w:val="39"/>
    <w:pPr>
      <w:ind w:left="420" w:leftChars="200"/>
    </w:pPr>
  </w:style>
  <w:style w:type="paragraph" w:styleId="26">
    <w:name w:val="toc 9"/>
    <w:basedOn w:val="1"/>
    <w:next w:val="1"/>
    <w:semiHidden/>
    <w:qFormat/>
    <w:uiPriority w:val="0"/>
    <w:pPr>
      <w:ind w:left="3360" w:leftChars="1600"/>
    </w:p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Courier New"/>
      <w:kern w:val="0"/>
      <w:szCs w:val="21"/>
    </w:rPr>
  </w:style>
  <w:style w:type="paragraph" w:styleId="2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9">
    <w:name w:val="Title"/>
    <w:basedOn w:val="1"/>
    <w:qFormat/>
    <w:uiPriority w:val="0"/>
    <w:pPr>
      <w:spacing w:before="240" w:after="240"/>
      <w:jc w:val="center"/>
      <w:outlineLvl w:val="0"/>
    </w:pPr>
    <w:rPr>
      <w:rFonts w:ascii="Arial" w:hAnsi="Arial" w:eastAsia="黑体" w:cs="Arial"/>
      <w:b/>
      <w:bCs/>
      <w:sz w:val="32"/>
      <w:szCs w:val="32"/>
    </w:rPr>
  </w:style>
  <w:style w:type="paragraph" w:styleId="30">
    <w:name w:val="annotation subject"/>
    <w:basedOn w:val="9"/>
    <w:next w:val="9"/>
    <w:link w:val="45"/>
    <w:qFormat/>
    <w:uiPriority w:val="0"/>
    <w:rPr>
      <w:b/>
      <w:bCs/>
    </w:rPr>
  </w:style>
  <w:style w:type="paragraph" w:styleId="31">
    <w:name w:val="Body Text First Indent"/>
    <w:basedOn w:val="10"/>
    <w:link w:val="46"/>
    <w:qFormat/>
    <w:uiPriority w:val="0"/>
    <w:pPr>
      <w:widowControl/>
      <w:spacing w:before="200"/>
      <w:ind w:left="283" w:firstLine="210"/>
      <w:jc w:val="left"/>
    </w:pPr>
    <w:rPr>
      <w:rFonts w:eastAsia="Times New Roman"/>
      <w:kern w:val="0"/>
      <w:sz w:val="24"/>
      <w:szCs w:val="20"/>
      <w:lang w:eastAsia="en-US" w:bidi="he-IL"/>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style>
  <w:style w:type="character" w:styleId="37">
    <w:name w:val="Hyperlink"/>
    <w:qFormat/>
    <w:uiPriority w:val="99"/>
    <w:rPr>
      <w:color w:val="auto"/>
      <w:u w:val="none"/>
    </w:rPr>
  </w:style>
  <w:style w:type="character" w:styleId="38">
    <w:name w:val="annotation reference"/>
    <w:qFormat/>
    <w:uiPriority w:val="0"/>
    <w:rPr>
      <w:sz w:val="16"/>
      <w:szCs w:val="16"/>
    </w:rPr>
  </w:style>
  <w:style w:type="character" w:customStyle="1" w:styleId="39">
    <w:name w:val="标题 5 字符"/>
    <w:link w:val="5"/>
    <w:semiHidden/>
    <w:qFormat/>
    <w:uiPriority w:val="0"/>
    <w:rPr>
      <w:b/>
      <w:bCs/>
      <w:kern w:val="2"/>
      <w:sz w:val="28"/>
      <w:szCs w:val="28"/>
    </w:rPr>
  </w:style>
  <w:style w:type="character" w:customStyle="1" w:styleId="40">
    <w:name w:val="批注文字 字符"/>
    <w:link w:val="9"/>
    <w:qFormat/>
    <w:uiPriority w:val="0"/>
    <w:rPr>
      <w:kern w:val="2"/>
    </w:rPr>
  </w:style>
  <w:style w:type="character" w:customStyle="1" w:styleId="41">
    <w:name w:val="正文文本 字符"/>
    <w:link w:val="10"/>
    <w:qFormat/>
    <w:uiPriority w:val="0"/>
    <w:rPr>
      <w:kern w:val="2"/>
      <w:sz w:val="21"/>
      <w:szCs w:val="24"/>
    </w:rPr>
  </w:style>
  <w:style w:type="character" w:customStyle="1" w:styleId="42">
    <w:name w:val="批注框文本 字符"/>
    <w:link w:val="18"/>
    <w:semiHidden/>
    <w:qFormat/>
    <w:uiPriority w:val="99"/>
    <w:rPr>
      <w:kern w:val="2"/>
      <w:sz w:val="18"/>
      <w:szCs w:val="18"/>
    </w:rPr>
  </w:style>
  <w:style w:type="character" w:customStyle="1" w:styleId="43">
    <w:name w:val="页脚 字符"/>
    <w:link w:val="19"/>
    <w:qFormat/>
    <w:uiPriority w:val="99"/>
    <w:rPr>
      <w:kern w:val="2"/>
      <w:sz w:val="18"/>
      <w:szCs w:val="18"/>
    </w:rPr>
  </w:style>
  <w:style w:type="character" w:customStyle="1" w:styleId="44">
    <w:name w:val="页眉 字符"/>
    <w:link w:val="20"/>
    <w:qFormat/>
    <w:locked/>
    <w:uiPriority w:val="99"/>
    <w:rPr>
      <w:kern w:val="2"/>
      <w:sz w:val="18"/>
      <w:szCs w:val="18"/>
    </w:rPr>
  </w:style>
  <w:style w:type="character" w:customStyle="1" w:styleId="45">
    <w:name w:val="批注主题 字符"/>
    <w:link w:val="30"/>
    <w:qFormat/>
    <w:uiPriority w:val="0"/>
    <w:rPr>
      <w:b/>
      <w:bCs/>
      <w:kern w:val="2"/>
    </w:rPr>
  </w:style>
  <w:style w:type="character" w:customStyle="1" w:styleId="46">
    <w:name w:val="正文文本首行缩进 字符"/>
    <w:link w:val="31"/>
    <w:qFormat/>
    <w:uiPriority w:val="0"/>
    <w:rPr>
      <w:rFonts w:eastAsia="Times New Roman"/>
      <w:kern w:val="2"/>
      <w:sz w:val="24"/>
      <w:szCs w:val="24"/>
      <w:lang w:eastAsia="en-US" w:bidi="he-IL"/>
    </w:rPr>
  </w:style>
  <w:style w:type="character" w:styleId="47">
    <w:name w:val="Placeholder Text"/>
    <w:semiHidden/>
    <w:qFormat/>
    <w:uiPriority w:val="99"/>
    <w:rPr>
      <w:color w:val="808080"/>
    </w:rPr>
  </w:style>
  <w:style w:type="character" w:customStyle="1" w:styleId="48">
    <w:name w:val="发布"/>
    <w:qFormat/>
    <w:uiPriority w:val="0"/>
    <w:rPr>
      <w:rFonts w:ascii="黑体" w:eastAsia="黑体"/>
      <w:spacing w:val="22"/>
      <w:w w:val="100"/>
      <w:position w:val="3"/>
      <w:sz w:val="28"/>
    </w:rPr>
  </w:style>
  <w:style w:type="character" w:customStyle="1" w:styleId="49">
    <w:name w:val="apple-converted-space"/>
    <w:qFormat/>
    <w:uiPriority w:val="0"/>
  </w:style>
  <w:style w:type="character" w:customStyle="1" w:styleId="50">
    <w:name w:val="段 Char"/>
    <w:link w:val="51"/>
    <w:qFormat/>
    <w:uiPriority w:val="0"/>
    <w:rPr>
      <w:rFonts w:ascii="宋体"/>
      <w:sz w:val="21"/>
      <w:lang w:val="en-US" w:eastAsia="zh-CN" w:bidi="ar-SA"/>
    </w:rPr>
  </w:style>
  <w:style w:type="paragraph" w:customStyle="1" w:styleId="51">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2">
    <w:name w:val="已访问的超链接1"/>
    <w:qFormat/>
    <w:uiPriority w:val="0"/>
    <w:rPr>
      <w:color w:val="auto"/>
      <w:u w:val="none"/>
    </w:rPr>
  </w:style>
  <w:style w:type="character" w:customStyle="1" w:styleId="53">
    <w:name w:val="样式1 Char"/>
    <w:link w:val="54"/>
    <w:qFormat/>
    <w:uiPriority w:val="0"/>
    <w:rPr>
      <w:rFonts w:eastAsia="黑体"/>
      <w:bCs/>
      <w:kern w:val="2"/>
      <w:sz w:val="21"/>
      <w:szCs w:val="21"/>
    </w:rPr>
  </w:style>
  <w:style w:type="paragraph" w:customStyle="1" w:styleId="54">
    <w:name w:val="样式1"/>
    <w:basedOn w:val="55"/>
    <w:next w:val="12"/>
    <w:link w:val="53"/>
    <w:qFormat/>
    <w:uiPriority w:val="0"/>
    <w:pPr>
      <w:tabs>
        <w:tab w:val="center" w:pos="4153"/>
        <w:tab w:val="right" w:pos="8306"/>
      </w:tabs>
    </w:pPr>
  </w:style>
  <w:style w:type="paragraph" w:customStyle="1" w:styleId="55">
    <w:name w:val="标题4"/>
    <w:basedOn w:val="20"/>
    <w:link w:val="56"/>
    <w:qFormat/>
    <w:uiPriority w:val="0"/>
    <w:pPr>
      <w:numPr>
        <w:ilvl w:val="2"/>
        <w:numId w:val="1"/>
      </w:numPr>
      <w:spacing w:before="240" w:after="240" w:line="276" w:lineRule="auto"/>
      <w:jc w:val="both"/>
    </w:pPr>
    <w:rPr>
      <w:rFonts w:eastAsia="黑体"/>
      <w:bCs/>
      <w:sz w:val="21"/>
      <w:szCs w:val="21"/>
    </w:rPr>
  </w:style>
  <w:style w:type="character" w:customStyle="1" w:styleId="56">
    <w:name w:val="标题4 Char"/>
    <w:link w:val="55"/>
    <w:qFormat/>
    <w:uiPriority w:val="0"/>
    <w:rPr>
      <w:rFonts w:eastAsia="黑体"/>
      <w:bCs/>
      <w:kern w:val="2"/>
      <w:sz w:val="21"/>
      <w:szCs w:val="21"/>
    </w:rPr>
  </w:style>
  <w:style w:type="character" w:customStyle="1" w:styleId="57">
    <w:name w:val="无间隔 字符"/>
    <w:link w:val="58"/>
    <w:qFormat/>
    <w:uiPriority w:val="1"/>
  </w:style>
  <w:style w:type="paragraph" w:styleId="58">
    <w:name w:val="No Spacing"/>
    <w:basedOn w:val="1"/>
    <w:link w:val="57"/>
    <w:qFormat/>
    <w:uiPriority w:val="1"/>
    <w:pPr>
      <w:widowControl/>
      <w:jc w:val="left"/>
    </w:pPr>
    <w:rPr>
      <w:kern w:val="0"/>
      <w:sz w:val="20"/>
      <w:szCs w:val="20"/>
    </w:rPr>
  </w:style>
  <w:style w:type="character" w:customStyle="1" w:styleId="59">
    <w:name w:val="页眉 Char1"/>
    <w:qFormat/>
    <w:locked/>
    <w:uiPriority w:val="99"/>
    <w:rPr>
      <w:kern w:val="2"/>
      <w:sz w:val="18"/>
      <w:szCs w:val="18"/>
    </w:rPr>
  </w:style>
  <w:style w:type="character" w:customStyle="1" w:styleId="60">
    <w:name w:val="标题 2 Char1"/>
    <w:qFormat/>
    <w:locked/>
    <w:uiPriority w:val="99"/>
    <w:rPr>
      <w:color w:val="808080"/>
    </w:rPr>
  </w:style>
  <w:style w:type="paragraph" w:customStyle="1" w:styleId="61">
    <w:name w:val="注：（正文）"/>
    <w:basedOn w:val="1"/>
    <w:next w:val="51"/>
    <w:qFormat/>
    <w:uiPriority w:val="0"/>
    <w:pPr>
      <w:numPr>
        <w:ilvl w:val="0"/>
        <w:numId w:val="2"/>
      </w:numPr>
      <w:autoSpaceDE w:val="0"/>
      <w:autoSpaceDN w:val="0"/>
    </w:pPr>
    <w:rPr>
      <w:rFonts w:ascii="宋体"/>
      <w:kern w:val="0"/>
      <w:sz w:val="18"/>
      <w:szCs w:val="18"/>
    </w:rPr>
  </w:style>
  <w:style w:type="paragraph" w:customStyle="1" w:styleId="62">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63">
    <w:name w:val="三级条标题"/>
    <w:basedOn w:val="64"/>
    <w:next w:val="51"/>
    <w:qFormat/>
    <w:uiPriority w:val="0"/>
    <w:pPr>
      <w:numPr>
        <w:ilvl w:val="0"/>
        <w:numId w:val="0"/>
      </w:numPr>
      <w:outlineLvl w:val="4"/>
    </w:pPr>
  </w:style>
  <w:style w:type="paragraph" w:customStyle="1" w:styleId="64">
    <w:name w:val="二级条标题"/>
    <w:basedOn w:val="65"/>
    <w:next w:val="51"/>
    <w:qFormat/>
    <w:uiPriority w:val="0"/>
    <w:pPr>
      <w:numPr>
        <w:ilvl w:val="2"/>
      </w:numPr>
      <w:spacing w:before="50" w:after="50"/>
      <w:outlineLvl w:val="3"/>
    </w:pPr>
  </w:style>
  <w:style w:type="paragraph" w:customStyle="1" w:styleId="65">
    <w:name w:val="一级条标题"/>
    <w:next w:val="51"/>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66">
    <w:name w:val="bullet6"/>
    <w:basedOn w:val="67"/>
    <w:qFormat/>
    <w:uiPriority w:val="0"/>
    <w:pPr>
      <w:numPr>
        <w:ilvl w:val="5"/>
      </w:numPr>
      <w:tabs>
        <w:tab w:val="left" w:pos="998"/>
      </w:tabs>
    </w:pPr>
  </w:style>
  <w:style w:type="paragraph" w:customStyle="1" w:styleId="67">
    <w:name w:val="bullet5"/>
    <w:basedOn w:val="68"/>
    <w:qFormat/>
    <w:uiPriority w:val="0"/>
    <w:pPr>
      <w:numPr>
        <w:ilvl w:val="4"/>
      </w:numPr>
      <w:tabs>
        <w:tab w:val="left" w:pos="998"/>
      </w:tabs>
    </w:pPr>
  </w:style>
  <w:style w:type="paragraph" w:customStyle="1" w:styleId="68">
    <w:name w:val="bullet4"/>
    <w:basedOn w:val="69"/>
    <w:qFormat/>
    <w:uiPriority w:val="0"/>
    <w:pPr>
      <w:numPr>
        <w:ilvl w:val="3"/>
      </w:numPr>
      <w:tabs>
        <w:tab w:val="left" w:pos="998"/>
      </w:tabs>
    </w:pPr>
  </w:style>
  <w:style w:type="paragraph" w:customStyle="1" w:styleId="69">
    <w:name w:val="bullet3"/>
    <w:basedOn w:val="70"/>
    <w:qFormat/>
    <w:uiPriority w:val="0"/>
    <w:pPr>
      <w:numPr>
        <w:ilvl w:val="2"/>
      </w:numPr>
      <w:tabs>
        <w:tab w:val="left" w:pos="998"/>
      </w:tabs>
    </w:pPr>
  </w:style>
  <w:style w:type="paragraph" w:customStyle="1" w:styleId="70">
    <w:name w:val="bullet2"/>
    <w:basedOn w:val="71"/>
    <w:qFormat/>
    <w:uiPriority w:val="0"/>
    <w:pPr>
      <w:numPr>
        <w:ilvl w:val="1"/>
      </w:numPr>
      <w:tabs>
        <w:tab w:val="left" w:pos="998"/>
      </w:tabs>
    </w:pPr>
  </w:style>
  <w:style w:type="paragraph" w:customStyle="1" w:styleId="71">
    <w:name w:val="bullet1"/>
    <w:basedOn w:val="1"/>
    <w:qFormat/>
    <w:uiPriority w:val="0"/>
    <w:pPr>
      <w:widowControl/>
      <w:numPr>
        <w:ilvl w:val="0"/>
        <w:numId w:val="5"/>
      </w:numPr>
      <w:spacing w:before="120"/>
      <w:jc w:val="left"/>
    </w:pPr>
    <w:rPr>
      <w:rFonts w:eastAsia="Times New Roman"/>
      <w:kern w:val="0"/>
      <w:sz w:val="24"/>
      <w:szCs w:val="20"/>
      <w:lang w:eastAsia="en-US" w:bidi="he-IL"/>
    </w:rPr>
  </w:style>
  <w:style w:type="paragraph" w:customStyle="1" w:styleId="72">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73">
    <w:name w:val="正文图标题"/>
    <w:next w:val="51"/>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7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正文表标题"/>
    <w:next w:val="51"/>
    <w:qFormat/>
    <w:uiPriority w:val="0"/>
    <w:pPr>
      <w:numPr>
        <w:ilvl w:val="0"/>
        <w:numId w:val="6"/>
      </w:numPr>
      <w:spacing w:beforeLines="50" w:afterLines="50"/>
      <w:ind w:left="0"/>
      <w:jc w:val="center"/>
    </w:pPr>
    <w:rPr>
      <w:rFonts w:ascii="黑体" w:hAnsi="Times New Roman" w:eastAsia="黑体" w:cs="Times New Roman"/>
      <w:sz w:val="21"/>
      <w:lang w:val="en-US" w:eastAsia="zh-CN" w:bidi="ar-SA"/>
    </w:rPr>
  </w:style>
  <w:style w:type="paragraph" w:customStyle="1" w:styleId="78">
    <w:name w:val="实施日期"/>
    <w:basedOn w:val="79"/>
    <w:qFormat/>
    <w:uiPriority w:val="0"/>
    <w:pPr>
      <w:framePr w:hSpace="0" w:wrap="around" w:xAlign="right"/>
      <w:jc w:val="right"/>
    </w:pPr>
  </w:style>
  <w:style w:type="paragraph" w:customStyle="1" w:styleId="7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章标题"/>
    <w:next w:val="51"/>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8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3">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8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五级条标题"/>
    <w:basedOn w:val="86"/>
    <w:next w:val="51"/>
    <w:qFormat/>
    <w:uiPriority w:val="0"/>
    <w:pPr>
      <w:numPr>
        <w:ilvl w:val="5"/>
      </w:numPr>
      <w:outlineLvl w:val="6"/>
    </w:pPr>
  </w:style>
  <w:style w:type="paragraph" w:customStyle="1" w:styleId="86">
    <w:name w:val="四级条标题"/>
    <w:basedOn w:val="63"/>
    <w:next w:val="51"/>
    <w:qFormat/>
    <w:uiPriority w:val="0"/>
    <w:pPr>
      <w:numPr>
        <w:ilvl w:val="4"/>
        <w:numId w:val="4"/>
      </w:numPr>
      <w:outlineLvl w:val="5"/>
    </w:pPr>
  </w:style>
  <w:style w:type="paragraph" w:customStyle="1" w:styleId="8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8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1">
    <w:name w:val="bullet9"/>
    <w:basedOn w:val="92"/>
    <w:qFormat/>
    <w:uiPriority w:val="0"/>
    <w:pPr>
      <w:numPr>
        <w:ilvl w:val="8"/>
      </w:numPr>
      <w:tabs>
        <w:tab w:val="left" w:pos="998"/>
      </w:tabs>
    </w:pPr>
  </w:style>
  <w:style w:type="paragraph" w:customStyle="1" w:styleId="92">
    <w:name w:val="bullet8"/>
    <w:basedOn w:val="93"/>
    <w:qFormat/>
    <w:uiPriority w:val="0"/>
    <w:pPr>
      <w:numPr>
        <w:ilvl w:val="7"/>
      </w:numPr>
      <w:tabs>
        <w:tab w:val="left" w:pos="998"/>
      </w:tabs>
    </w:pPr>
  </w:style>
  <w:style w:type="paragraph" w:customStyle="1" w:styleId="93">
    <w:name w:val="bullet7"/>
    <w:basedOn w:val="66"/>
    <w:qFormat/>
    <w:uiPriority w:val="0"/>
    <w:pPr>
      <w:numPr>
        <w:ilvl w:val="6"/>
      </w:numPr>
    </w:pPr>
  </w:style>
  <w:style w:type="paragraph" w:customStyle="1" w:styleId="9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95">
    <w:name w:val="列出段落"/>
    <w:basedOn w:val="1"/>
    <w:qFormat/>
    <w:uiPriority w:val="34"/>
    <w:pPr>
      <w:widowControl/>
      <w:ind w:left="720" w:firstLine="360"/>
      <w:contextualSpacing/>
      <w:jc w:val="left"/>
    </w:pPr>
    <w:rPr>
      <w:rFonts w:ascii="Calibri" w:hAnsi="Calibri"/>
      <w:kern w:val="0"/>
      <w:sz w:val="22"/>
      <w:szCs w:val="22"/>
    </w:rPr>
  </w:style>
  <w:style w:type="paragraph" w:customStyle="1" w:styleId="96">
    <w:name w:val="Revision1"/>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TOC 标题1"/>
    <w:basedOn w:val="2"/>
    <w:next w:val="1"/>
    <w:unhideWhenUsed/>
    <w:qFormat/>
    <w:uiPriority w:val="39"/>
    <w:pPr>
      <w:keepLines/>
      <w:widowControl/>
      <w:spacing w:beforeLines="0" w:afterLines="0" w:line="259" w:lineRule="auto"/>
      <w:jc w:val="left"/>
      <w:outlineLvl w:val="9"/>
    </w:pPr>
    <w:rPr>
      <w:rFonts w:ascii="等线 Light" w:hAnsi="等线 Light" w:eastAsia="等线 Light"/>
      <w:b w:val="0"/>
      <w:iCs w:val="0"/>
      <w:color w:val="2F5496"/>
      <w:kern w:val="0"/>
      <w:sz w:val="32"/>
      <w:szCs w:val="32"/>
    </w:rPr>
  </w:style>
  <w:style w:type="paragraph" w:customStyle="1" w:styleId="98">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99">
    <w:name w:val="标题 2 字符"/>
    <w:link w:val="3"/>
    <w:qFormat/>
    <w:uiPriority w:val="0"/>
    <w:rPr>
      <w:rFonts w:ascii="黑体" w:hAnsi="Arial" w:eastAsia="黑体"/>
      <w:b/>
      <w:bCs/>
      <w:kern w:val="2"/>
      <w:sz w:val="21"/>
      <w:szCs w:val="32"/>
    </w:rPr>
  </w:style>
  <w:style w:type="character" w:customStyle="1" w:styleId="100">
    <w:name w:val="src"/>
    <w:basedOn w:val="34"/>
    <w:qFormat/>
    <w:uiPriority w:val="0"/>
  </w:style>
  <w:style w:type="character" w:customStyle="1" w:styleId="101">
    <w:name w:val="标题 1 字符"/>
    <w:link w:val="2"/>
    <w:qFormat/>
    <w:uiPriority w:val="0"/>
    <w:rPr>
      <w:rFonts w:ascii="黑体" w:eastAsia="黑体"/>
      <w:b/>
      <w:iCs/>
      <w:kern w:val="2"/>
      <w:sz w:val="21"/>
      <w:szCs w:val="24"/>
    </w:rPr>
  </w:style>
  <w:style w:type="character" w:customStyle="1" w:styleId="102">
    <w:name w:val="未处理的提及1"/>
    <w:semiHidden/>
    <w:unhideWhenUsed/>
    <w:qFormat/>
    <w:uiPriority w:val="99"/>
    <w:rPr>
      <w:color w:val="605E5C"/>
      <w:shd w:val="clear" w:color="auto" w:fill="E1DFDD"/>
    </w:rPr>
  </w:style>
  <w:style w:type="character" w:customStyle="1" w:styleId="103">
    <w:name w:val="标题 3 字符"/>
    <w:basedOn w:val="34"/>
    <w:link w:val="4"/>
    <w:qFormat/>
    <w:uiPriority w:val="0"/>
    <w:rPr>
      <w:rFonts w:ascii="黑体" w:eastAsia="黑体"/>
      <w:b/>
      <w:bCs/>
      <w:kern w:val="2"/>
      <w:sz w:val="21"/>
      <w:szCs w:val="32"/>
    </w:rPr>
  </w:style>
  <w:style w:type="paragraph" w:customStyle="1" w:styleId="104">
    <w:name w:val="标准标志HB"/>
    <w:next w:val="1"/>
    <w:qFormat/>
    <w:uiPriority w:val="0"/>
    <w:pPr>
      <w:shd w:val="solid" w:color="FFFFFF" w:fill="FFFFFF"/>
      <w:spacing w:line="0" w:lineRule="atLeast"/>
      <w:jc w:val="right"/>
    </w:pPr>
    <w:rPr>
      <w:rFonts w:ascii="Britannic Bold" w:hAnsi="Britannic Bold" w:eastAsia="Britannic Bold" w:cs="Britannic Bold"/>
      <w:b/>
      <w:w w:val="110"/>
      <w:kern w:val="2"/>
      <w:sz w:val="160"/>
      <w:lang w:val="en-US" w:eastAsia="zh-CN" w:bidi="ar-SA"/>
    </w:rPr>
  </w:style>
  <w:style w:type="paragraph" w:customStyle="1" w:styleId="1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08">
    <w:name w:val="标准书眉_偶数页"/>
    <w:basedOn w:val="107"/>
    <w:next w:val="1"/>
    <w:qFormat/>
    <w:uiPriority w:val="0"/>
    <w:pPr>
      <w:jc w:val="left"/>
    </w:pPr>
  </w:style>
  <w:style w:type="paragraph" w:customStyle="1" w:styleId="109">
    <w:name w:val="标准书眉一"/>
    <w:qFormat/>
    <w:uiPriority w:val="0"/>
    <w:pPr>
      <w:jc w:val="both"/>
    </w:pPr>
    <w:rPr>
      <w:rFonts w:ascii="Times New Roman" w:hAnsi="Times New Roman" w:eastAsia="宋体" w:cs="Times New Roman"/>
      <w:lang w:val="en-US" w:eastAsia="zh-CN" w:bidi="ar-SA"/>
    </w:rPr>
  </w:style>
  <w:style w:type="paragraph" w:customStyle="1" w:styleId="110">
    <w:name w:val="ICS"/>
    <w:basedOn w:val="1"/>
    <w:qFormat/>
    <w:uiPriority w:val="0"/>
    <w:pPr>
      <w:widowControl/>
      <w:jc w:val="left"/>
    </w:pPr>
    <w:rPr>
      <w:rFonts w:ascii="黑体" w:eastAsia="黑体"/>
      <w:kern w:val="0"/>
      <w:szCs w:val="20"/>
    </w:rPr>
  </w:style>
  <w:style w:type="paragraph" w:customStyle="1" w:styleId="111">
    <w:name w:val="标准称谓HB"/>
    <w:next w:val="1"/>
    <w:qFormat/>
    <w:uiPriority w:val="0"/>
    <w:pPr>
      <w:widowControl w:val="0"/>
      <w:kinsoku w:val="0"/>
      <w:overflowPunct w:val="0"/>
      <w:autoSpaceDE w:val="0"/>
      <w:autoSpaceDN w:val="0"/>
      <w:spacing w:line="0" w:lineRule="atLeast"/>
      <w:jc w:val="distribute"/>
    </w:pPr>
    <w:rPr>
      <w:rFonts w:hint="eastAsia" w:ascii="黑体" w:hAnsi="黑体" w:eastAsia="黑体" w:cs="黑体"/>
      <w:b/>
      <w:bCs/>
      <w:w w:val="135"/>
      <w:sz w:val="44"/>
      <w:lang w:val="en-US" w:eastAsia="zh-CN" w:bidi="ar-SA"/>
    </w:rPr>
  </w:style>
  <w:style w:type="paragraph" w:customStyle="1" w:styleId="112">
    <w:name w:val="发布部门HB"/>
    <w:next w:val="1"/>
    <w:qFormat/>
    <w:uiPriority w:val="0"/>
    <w:pPr>
      <w:spacing w:line="360" w:lineRule="exact"/>
      <w:jc w:val="center"/>
    </w:pPr>
    <w:rPr>
      <w:rFonts w:hint="eastAsia" w:ascii="宋体" w:hAnsi="宋体" w:eastAsia="宋体" w:cs="宋体"/>
      <w:b/>
      <w:sz w:val="36"/>
      <w:lang w:val="en-US" w:eastAsia="zh-CN" w:bidi="ar-SA"/>
    </w:rPr>
  </w:style>
  <w:style w:type="paragraph" w:customStyle="1" w:styleId="11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1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15">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标题5 正文"/>
    <w:basedOn w:val="1"/>
    <w:link w:val="117"/>
    <w:qFormat/>
    <w:uiPriority w:val="0"/>
    <w:pPr>
      <w:spacing w:line="460" w:lineRule="exact"/>
      <w:ind w:firstLine="480" w:firstLineChars="200"/>
    </w:pPr>
    <w:rPr>
      <w:rFonts w:ascii="宋体" w:hAnsi="宋体" w:cs="宋体"/>
      <w:kern w:val="0"/>
      <w:sz w:val="24"/>
    </w:rPr>
  </w:style>
  <w:style w:type="character" w:customStyle="1" w:styleId="117">
    <w:name w:val="标题5 正文 字符"/>
    <w:basedOn w:val="34"/>
    <w:link w:val="116"/>
    <w:qFormat/>
    <w:uiPriority w:val="0"/>
    <w:rPr>
      <w:rFonts w:ascii="宋体" w:hAnsi="宋体" w:cs="宋体"/>
      <w:sz w:val="24"/>
      <w:szCs w:val="24"/>
    </w:rPr>
  </w:style>
  <w:style w:type="paragraph" w:customStyle="1" w:styleId="1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F8CA0-A684-4889-B8BB-2AA9B4729F8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4617</Words>
  <Characters>5638</Characters>
  <Lines>74</Lines>
  <Paragraphs>21</Paragraphs>
  <TotalTime>0</TotalTime>
  <ScaleCrop>false</ScaleCrop>
  <LinksUpToDate>false</LinksUpToDate>
  <CharactersWithSpaces>5824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2025-05-15T12:29:00Z</dcterms:created>
  <dc:creator>yh</dc:creator>
  <cp:lastModifiedBy>yess</cp:lastModifiedBy>
  <cp:lastPrinted>2019-04-19T10:47:00Z</cp:lastPrinted>
  <dcterms:modified xsi:type="dcterms:W3CDTF">2025-06-17T01:13:59Z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2052-12.1.0.21541</vt:lpwstr>
  </property>
  <property fmtid="{D5CDD505-2E9C-101B-9397-08002B2CF9AE}" pid="4" name="ICV">
    <vt:lpwstr>8396725737875991389825684B62466E_43</vt:lpwstr>
  </property>
  <property fmtid="{D5CDD505-2E9C-101B-9397-08002B2CF9AE}" pid="5" name="KSOTemplateDocerSaveRecord">
    <vt:lpwstr>eyJoZGlkIjoiMzEwNTM5NzYwMDRjMzkwZTVkZjY2ODkwMGIxNGU0OTUiLCJ1c2VySWQiOiIxMTMxNDE2NzE2In0=</vt:lpwstr>
  </property>
</Properties>
</file>