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BBDDF">
      <w:pPr>
        <w:pStyle w:val="2"/>
        <w:widowControl/>
        <w:adjustRightInd w:val="0"/>
        <w:snapToGrid w:val="0"/>
        <w:spacing w:beforeAutospacing="0" w:afterAutospacing="0" w:line="56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31A04AC">
      <w:pPr>
        <w:spacing w:line="560" w:lineRule="exact"/>
        <w:ind w:firstLine="420" w:firstLineChars="200"/>
        <w:rPr>
          <w:rFonts w:hint="eastAsia"/>
          <w:lang w:val="en-US" w:eastAsia="zh-CN"/>
        </w:rPr>
      </w:pPr>
    </w:p>
    <w:p w14:paraId="42A581F8">
      <w:pPr>
        <w:pStyle w:val="2"/>
        <w:widowControl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</w:pPr>
      <w:r>
        <w:rPr>
          <w:rFonts w:ascii="方正小标宋简体" w:hAnsi="方正小标宋_GBK" w:eastAsia="方正小标宋简体" w:cs="方正小标宋_GBK"/>
          <w:b w:val="0"/>
          <w:bCs w:val="0"/>
          <w:color w:val="000000"/>
          <w:sz w:val="44"/>
          <w:szCs w:val="44"/>
        </w:rPr>
        <w:t>脑机接口医疗器械产品分类界定指导原则</w:t>
      </w:r>
    </w:p>
    <w:p w14:paraId="35450840">
      <w:pPr>
        <w:pStyle w:val="3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 w14:paraId="66DA1FDD">
      <w:pPr>
        <w:pStyle w:val="3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  <w:t>一、目的</w:t>
      </w:r>
    </w:p>
    <w:p w14:paraId="7F39E4AA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为指导脑机接口医疗器械产品管理属性和管理类别判定，根据《医疗器械监督管理条例》《医疗器械分类规则》《医疗器械分类目录》等，制定本指导原则。</w:t>
      </w:r>
    </w:p>
    <w:p w14:paraId="7172B9A2">
      <w:pPr>
        <w:pStyle w:val="3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4"/>
      <w:bookmarkStart w:id="1" w:name="OLE_LINK5"/>
      <w:r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  <w:t>二、</w:t>
      </w:r>
      <w:bookmarkEnd w:id="0"/>
      <w:bookmarkEnd w:id="1"/>
      <w:r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  <w:t>范围</w:t>
      </w:r>
    </w:p>
    <w:p w14:paraId="1A95AC54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本指导原则适用于脑机接口医疗器械，其定义为“通过侵入或非侵入的方式，测量中枢神经系统产生的神经信号并实时解码，</w:t>
      </w:r>
      <w:bookmarkStart w:id="2" w:name="OLE_LINK2"/>
      <w:bookmarkStart w:id="3" w:name="OLE_LINK1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实现患者与外部辅助或诊疗设备的实时双向交互或闭环反馈</w:t>
      </w:r>
      <w:bookmarkEnd w:id="2"/>
      <w:bookmarkEnd w:id="3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，达到改善、修复或替代中枢神经系统功能等临床效果的有源医疗器械”。</w:t>
      </w:r>
    </w:p>
    <w:p w14:paraId="117119CB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脑机接口医疗器械应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当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同时具备以下核心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技术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特征：</w:t>
      </w:r>
    </w:p>
    <w:p w14:paraId="31BE84AC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（一）测量中枢神经系统（脑和脊髓）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产生的神经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信号。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若仅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测量外周神经、肌电、心电等非中枢神经信号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，则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不属于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脑机接口医疗器械。</w:t>
      </w:r>
    </w:p>
    <w:p w14:paraId="6AB03887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（二）实时解码并将解码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输出的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指令直接用于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实现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产品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主要预期用途，例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控制外部设备、调节能量输出、触发刺激信号等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注：</w:t>
      </w:r>
      <w:r>
        <w:rPr>
          <w:rStyle w:val="6"/>
          <w:rFonts w:hint="eastAsia" w:ascii="楷体_GB2312" w:hAnsi="楷体_GB2312" w:eastAsia="楷体_GB2312" w:cs="楷体_GB2312"/>
          <w:b w:val="0"/>
          <w:color w:val="000000"/>
          <w:kern w:val="0"/>
          <w:sz w:val="32"/>
          <w:szCs w:val="32"/>
        </w:rPr>
        <w:t>实时解码是指脑机接口医疗器械能够以确定的、连续的时间流，在符合临床要求的时间内，将中枢神经信号同步转化为设备控制指令；该解码过程作为医疗器械临床功能任务流中不可分割的连续环节，不依赖外部干预，并将解码输出的指令直接用于实现产品的主要预期用途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）</w:t>
      </w:r>
    </w:p>
    <w:p w14:paraId="7256BCF6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（三）实现患者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中枢神经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与外部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辅助或诊疗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设备之间的实时双向交互或闭环反馈。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若产品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仅具备信号采集功能或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者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单向刺激功能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，例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如脑电图机、不具备闭环反馈的脑深部刺激系统等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，则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不属于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脑机接口医疗器械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。</w:t>
      </w:r>
    </w:p>
    <w:p w14:paraId="50050D4F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" w:eastAsia="zh-CN"/>
        </w:rPr>
        <w:t>（四）达到改善、修复或替代中枢神经系统功能等临床效果。若产品预期不用于上述医疗目的，则不属于脑机接口医疗器械。</w:t>
      </w:r>
    </w:p>
    <w:p w14:paraId="43648D23">
      <w:pPr>
        <w:pStyle w:val="3"/>
        <w:widowControl/>
        <w:adjustRightInd w:val="0"/>
        <w:snapToGrid w:val="0"/>
        <w:spacing w:beforeAutospacing="0" w:afterAutospacing="0" w:line="560" w:lineRule="exact"/>
        <w:ind w:firstLine="643" w:firstLineChars="200"/>
        <w:jc w:val="both"/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黑体"/>
          <w:color w:val="000000"/>
          <w:sz w:val="32"/>
          <w:szCs w:val="32"/>
        </w:rPr>
        <w:t>三、</w:t>
      </w:r>
      <w:r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  <w:t>管理属性界定原则</w:t>
      </w:r>
    </w:p>
    <w:p w14:paraId="5A38AF0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该类产品的管理属性界定应当基于其预期用途。</w:t>
      </w:r>
    </w:p>
    <w:p w14:paraId="7E267BAC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（一）若脑机接口产品预期用于改善、修复或替代患者的中枢神经系统功能等医疗目的，则作为医疗器械管理。  </w:t>
      </w:r>
    </w:p>
    <w:p w14:paraId="6D3ACC42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（二）若脑机接口产品不用于医疗目的，则不作为医疗器械管理。例如：</w:t>
      </w:r>
    </w:p>
    <w:p w14:paraId="4F9181FC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1.功能增强类：用于非医疗目的下，增强个体的感知、认知和运动能力等；</w:t>
      </w:r>
    </w:p>
    <w:p w14:paraId="77ECEF18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2.娱乐交互类：用于非医疗目的下的游戏控制、虚拟现实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增强现实交互、沉浸式体验等娱乐场景；</w:t>
      </w:r>
    </w:p>
    <w:p w14:paraId="34FBF3FC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3.日常辅助类：用于非医疗目的下，使用者对智能家居、电脑或者通讯工具的操控。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 xml:space="preserve"> </w:t>
      </w:r>
    </w:p>
    <w:p w14:paraId="465448E8">
      <w:pPr>
        <w:pStyle w:val="3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黑体"/>
          <w:b w:val="0"/>
          <w:bCs w:val="0"/>
          <w:color w:val="000000"/>
          <w:sz w:val="32"/>
          <w:szCs w:val="32"/>
        </w:rPr>
        <w:t>四、管理类别判定原则</w:t>
      </w:r>
    </w:p>
    <w:p w14:paraId="3F7E8A5C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（一）</w:t>
      </w:r>
      <w:bookmarkStart w:id="4" w:name="OLE_LINK3"/>
      <w:bookmarkStart w:id="5" w:name="OLE_LINK6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侵入式/植入式脑机接口医疗器械</w:t>
      </w:r>
    </w:p>
    <w:bookmarkEnd w:id="4"/>
    <w:bookmarkEnd w:id="5"/>
    <w:p w14:paraId="202B9884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按照第三类医疗器械管理，</w:t>
      </w:r>
      <w:bookmarkStart w:id="6" w:name="OLE_LINK8"/>
      <w:bookmarkStart w:id="7" w:name="OLE_LINK7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分类编码为12-00。</w:t>
      </w:r>
      <w:bookmarkEnd w:id="6"/>
      <w:bookmarkEnd w:id="7"/>
    </w:p>
    <w:p w14:paraId="3C4F3256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（二）非侵入式脑机接口医疗器械 </w:t>
      </w:r>
    </w:p>
    <w:p w14:paraId="0B30B31D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1.若产品用于疾病治疗，按照第三类医疗器械管理，分类编码为09-00。若产品用于功能代偿，按照第三类医疗器械管理，分类编码为19-00。</w:t>
      </w:r>
    </w:p>
    <w:p w14:paraId="0D94004F"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2.若产品用于</w:t>
      </w:r>
      <w:bookmarkStart w:id="8" w:name="OLE_LINK29"/>
      <w:bookmarkStart w:id="9" w:name="OLE_LINK3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脑卒中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患者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肢体运动功能的康复训练</w:t>
      </w:r>
      <w:bookmarkEnd w:id="8"/>
      <w:bookmarkEnd w:id="9"/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，且未采用人工智能技术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（本指导原则中的“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人工智能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技术”与《人工智能医疗器械注册审查指导原则》范围一致）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，按照第二类医疗器械管理，分类编码为19-00。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其他康复产品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>按照第三类医疗器械管理，分类编码为19-00。</w:t>
      </w:r>
    </w:p>
    <w:p w14:paraId="3684A5BE">
      <w:pPr>
        <w:widowControl/>
        <w:spacing w:line="590" w:lineRule="exact"/>
        <w:ind w:firstLine="56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</w:p>
    <w:p w14:paraId="71406C63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7206E"/>
    <w:rsid w:val="5977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2026-06-30T05:58:00Z</dcterms:created>
  <dc:creator>新祺</dc:creator>
  <cp:lastModifiedBy>新祺</cp:lastModifiedBy>
  <dcterms:modified xsi:type="dcterms:W3CDTF">2026-06-30T05:59:28Z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539073C97BF94ED8B978674ED7D03207_11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