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191EC">
      <w:pPr>
        <w:spacing w:line="640" w:lineRule="exact"/>
        <w:jc w:val="center"/>
        <w:rPr>
          <w:rFonts w:ascii="Times New Roman" w:hAnsi="Times New Roman" w:eastAsia="方正小标宋简体" w:cs="Times New Roman"/>
          <w:sz w:val="44"/>
          <w:szCs w:val="44"/>
        </w:rPr>
      </w:pPr>
    </w:p>
    <w:p w14:paraId="3B3ED9DE">
      <w:pPr>
        <w:spacing w:line="6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医疗器械生产质量管理规范</w:t>
      </w:r>
    </w:p>
    <w:p w14:paraId="718F54BD">
      <w:pPr>
        <w:spacing w:line="6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无菌医疗器械检查指导原则</w:t>
      </w:r>
    </w:p>
    <w:p w14:paraId="018E67D2">
      <w:pPr>
        <w:widowControl/>
        <w:spacing w:line="560" w:lineRule="exact"/>
        <w:ind w:firstLine="640" w:firstLineChars="200"/>
        <w:rPr>
          <w:rFonts w:ascii="Times New Roman" w:hAnsi="Times New Roman" w:eastAsia="黑体" w:cs="Times New Roman"/>
          <w:sz w:val="32"/>
          <w:szCs w:val="32"/>
        </w:rPr>
      </w:pPr>
    </w:p>
    <w:p w14:paraId="5A359943">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default" w:ascii="Times New Roman" w:hAnsi="Times New Roman" w:eastAsia="仿宋_GB2312" w:cs="Times New Roman"/>
          <w:sz w:val="32"/>
          <w:szCs w:val="32"/>
        </w:rPr>
        <w:t>无菌</w:t>
      </w:r>
      <w:r>
        <w:rPr>
          <w:rFonts w:ascii="Times New Roman" w:hAnsi="Times New Roman" w:eastAsia="仿宋_GB2312" w:cs="Times New Roman"/>
          <w:sz w:val="32"/>
          <w:szCs w:val="32"/>
        </w:rPr>
        <w:t>医疗器械注册人、受托生产企业（以下简称企业）开展生产检查工作，根据《医疗器械生产质量管理规范》（以下简称《规范》）</w:t>
      </w:r>
      <w:r>
        <w:rPr>
          <w:rFonts w:hint="default" w:ascii="Times New Roman" w:hAnsi="Times New Roman" w:eastAsia="仿宋_GB2312" w:cs="Times New Roman"/>
          <w:sz w:val="32"/>
          <w:szCs w:val="32"/>
        </w:rPr>
        <w:t>和《医疗器械生产质量管理规范附录无菌医疗器械》（以下简称《无菌附录》）</w:t>
      </w:r>
      <w:r>
        <w:rPr>
          <w:rFonts w:ascii="Times New Roman" w:hAnsi="Times New Roman" w:eastAsia="仿宋_GB2312" w:cs="Times New Roman"/>
          <w:sz w:val="32"/>
          <w:szCs w:val="32"/>
        </w:rPr>
        <w:t>，制定本指导原则。</w:t>
      </w:r>
    </w:p>
    <w:p w14:paraId="34257409">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本指导原则</w:t>
      </w:r>
      <w:r>
        <w:rPr>
          <w:rFonts w:hint="eastAsia" w:ascii="Times New Roman" w:hAnsi="Times New Roman" w:eastAsia="仿宋_GB2312" w:cs="Times New Roman"/>
          <w:sz w:val="32"/>
          <w:szCs w:val="32"/>
          <w:lang w:eastAsia="zh-CN"/>
        </w:rPr>
        <w:t>基于</w:t>
      </w:r>
      <w:r>
        <w:rPr>
          <w:rFonts w:hint="default" w:ascii="Times New Roman" w:hAnsi="Times New Roman" w:eastAsia="仿宋_GB2312" w:cs="Times New Roman"/>
          <w:sz w:val="32"/>
          <w:szCs w:val="32"/>
        </w:rPr>
        <w:t>《规范》《无菌附录》</w:t>
      </w:r>
      <w:r>
        <w:rPr>
          <w:rFonts w:ascii="Times New Roman" w:hAnsi="Times New Roman" w:eastAsia="仿宋_GB2312" w:cs="Times New Roman"/>
          <w:sz w:val="32"/>
          <w:szCs w:val="32"/>
        </w:rPr>
        <w:t>各条款在质量管理体系中的重要性及其不符合带来的质量安全风险程度</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将《</w:t>
      </w:r>
      <w:r>
        <w:rPr>
          <w:rFonts w:hint="default" w:ascii="Times New Roman" w:hAnsi="Times New Roman" w:eastAsia="仿宋_GB2312" w:cs="Times New Roman"/>
          <w:sz w:val="32"/>
          <w:szCs w:val="32"/>
        </w:rPr>
        <w:t>无菌</w:t>
      </w:r>
      <w:r>
        <w:rPr>
          <w:rFonts w:ascii="Times New Roman" w:hAnsi="Times New Roman" w:eastAsia="仿宋_GB2312" w:cs="Times New Roman"/>
          <w:sz w:val="32"/>
          <w:szCs w:val="32"/>
        </w:rPr>
        <w:t>附录》内容与《规范》融合衔接，转化为</w:t>
      </w:r>
      <w:r>
        <w:rPr>
          <w:rFonts w:hint="default" w:ascii="Times New Roman" w:hAnsi="Times New Roman" w:eastAsia="仿宋_GB2312" w:cs="Times New Roman"/>
          <w:sz w:val="32"/>
          <w:szCs w:val="32"/>
        </w:rPr>
        <w:t>无菌</w:t>
      </w:r>
      <w:r>
        <w:rPr>
          <w:rFonts w:ascii="Times New Roman" w:hAnsi="Times New Roman" w:eastAsia="仿宋_GB2312" w:cs="Times New Roman"/>
          <w:sz w:val="32"/>
          <w:szCs w:val="32"/>
        </w:rPr>
        <w:t>医疗器械检查项目，并划分为关键项目（***）、主要项目（**）和一般项目（*）三个等级。无菌</w:t>
      </w:r>
      <w:r>
        <w:rPr>
          <w:rFonts w:hint="default" w:ascii="Times New Roman" w:hAnsi="Times New Roman" w:eastAsia="仿宋_GB2312" w:cs="Times New Roman"/>
          <w:sz w:val="32"/>
          <w:szCs w:val="32"/>
        </w:rPr>
        <w:t>医疗器械</w:t>
      </w:r>
      <w:r>
        <w:rPr>
          <w:rFonts w:ascii="Times New Roman" w:hAnsi="Times New Roman" w:eastAsia="仿宋_GB2312" w:cs="Times New Roman"/>
          <w:sz w:val="32"/>
          <w:szCs w:val="32"/>
        </w:rPr>
        <w:t>检查项目共216项，其中关键项目41项，主要项目95项，一般项目80项。</w:t>
      </w:r>
    </w:p>
    <w:p w14:paraId="3131A26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检查类型及结果判定遵循《医疗器械生产质量管理规范检查指导原则》。</w:t>
      </w:r>
    </w:p>
    <w:p w14:paraId="441B74B9">
      <w:pPr>
        <w:spacing w:line="560" w:lineRule="exact"/>
        <w:ind w:firstLine="640" w:firstLineChars="200"/>
        <w:rPr>
          <w:rFonts w:ascii="Times New Roman" w:hAnsi="Times New Roman" w:eastAsia="仿宋_GB2312" w:cs="Times New Roman"/>
          <w:sz w:val="32"/>
          <w:szCs w:val="32"/>
        </w:rPr>
      </w:pPr>
    </w:p>
    <w:p w14:paraId="0CBC0016">
      <w:pPr>
        <w:spacing w:line="560" w:lineRule="exact"/>
        <w:ind w:firstLine="640" w:firstLineChars="200"/>
        <w:rPr>
          <w:rFonts w:ascii="Times New Roman" w:hAnsi="Times New Roman" w:eastAsia="方正仿宋_GB2312" w:cs="Times New Roman"/>
          <w:sz w:val="32"/>
          <w:szCs w:val="32"/>
        </w:rPr>
      </w:pPr>
      <w:r>
        <w:rPr>
          <w:rFonts w:ascii="Times New Roman" w:hAnsi="Times New Roman" w:eastAsia="仿宋_GB2312" w:cs="Times New Roman"/>
          <w:sz w:val="32"/>
          <w:szCs w:val="32"/>
        </w:rPr>
        <w:t>附</w:t>
      </w:r>
      <w:r>
        <w:rPr>
          <w:rFonts w:hint="eastAsia" w:ascii="Times New Roman" w:hAnsi="Times New Roman" w:eastAsia="仿宋_GB2312" w:cs="Times New Roman"/>
          <w:sz w:val="32"/>
          <w:szCs w:val="32"/>
          <w:lang w:eastAsia="zh-CN"/>
        </w:rPr>
        <w:t>件</w:t>
      </w:r>
      <w:r>
        <w:rPr>
          <w:rFonts w:ascii="Times New Roman" w:hAnsi="Times New Roman" w:eastAsia="仿宋_GB2312" w:cs="Times New Roman"/>
          <w:sz w:val="32"/>
          <w:szCs w:val="32"/>
        </w:rPr>
        <w:t>：无菌</w:t>
      </w:r>
      <w:r>
        <w:rPr>
          <w:rFonts w:hint="default" w:ascii="Times New Roman" w:hAnsi="Times New Roman" w:eastAsia="仿宋_GB2312" w:cs="Times New Roman"/>
          <w:sz w:val="32"/>
          <w:szCs w:val="32"/>
        </w:rPr>
        <w:t>医疗器械</w:t>
      </w:r>
      <w:r>
        <w:rPr>
          <w:rFonts w:ascii="Times New Roman" w:hAnsi="Times New Roman" w:eastAsia="仿宋_GB2312" w:cs="Times New Roman"/>
          <w:sz w:val="32"/>
          <w:szCs w:val="32"/>
        </w:rPr>
        <w:t>检查项目</w:t>
      </w:r>
    </w:p>
    <w:p w14:paraId="1248FC85">
      <w:pPr>
        <w:widowControl/>
        <w:jc w:val="left"/>
        <w:rPr>
          <w:rFonts w:ascii="Times New Roman" w:hAnsi="Times New Roman" w:eastAsia="黑体" w:cs="Times New Roman"/>
          <w:sz w:val="32"/>
          <w:szCs w:val="32"/>
        </w:rPr>
      </w:pPr>
    </w:p>
    <w:p w14:paraId="5DB3B721">
      <w:pPr>
        <w:widowControl/>
        <w:jc w:val="left"/>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br w:type="page"/>
      </w:r>
      <w:r>
        <w:rPr>
          <w:rFonts w:ascii="Times New Roman" w:hAnsi="Times New Roman" w:eastAsia="黑体" w:cs="Times New Roman"/>
          <w:sz w:val="32"/>
          <w:szCs w:val="32"/>
        </w:rPr>
        <w:t>附</w:t>
      </w:r>
      <w:r>
        <w:rPr>
          <w:rFonts w:hint="eastAsia" w:ascii="Times New Roman" w:hAnsi="Times New Roman" w:eastAsia="黑体" w:cs="Times New Roman"/>
          <w:sz w:val="32"/>
          <w:szCs w:val="32"/>
          <w:lang w:eastAsia="zh-CN"/>
        </w:rPr>
        <w:t>件</w:t>
      </w:r>
    </w:p>
    <w:p w14:paraId="460F766E">
      <w:pPr>
        <w:pStyle w:val="8"/>
        <w:spacing w:after="360" w:line="580" w:lineRule="exact"/>
        <w:jc w:val="center"/>
        <w:rPr>
          <w:rFonts w:ascii="Times New Roman" w:hAnsi="Times New Roman" w:eastAsia="微软雅黑" w:cs="Times New Roman"/>
          <w:bCs/>
          <w:kern w:val="0"/>
          <w:sz w:val="44"/>
          <w:szCs w:val="44"/>
          <w:lang w:bidi="ar"/>
        </w:rPr>
      </w:pPr>
      <w:r>
        <w:rPr>
          <w:rFonts w:ascii="Times New Roman" w:hAnsi="Times New Roman" w:eastAsia="方正小标宋简体" w:cs="Times New Roman"/>
          <w:bCs/>
          <w:kern w:val="0"/>
          <w:sz w:val="44"/>
          <w:szCs w:val="44"/>
          <w:lang w:bidi="ar"/>
        </w:rPr>
        <w:t>无菌</w:t>
      </w:r>
      <w:r>
        <w:rPr>
          <w:rFonts w:hint="default" w:ascii="Times New Roman" w:hAnsi="Times New Roman" w:eastAsia="方正小标宋简体" w:cs="Times New Roman"/>
          <w:bCs/>
          <w:kern w:val="0"/>
          <w:sz w:val="44"/>
          <w:szCs w:val="44"/>
          <w:lang w:bidi="ar"/>
        </w:rPr>
        <w:t>医疗器械</w:t>
      </w:r>
      <w:r>
        <w:rPr>
          <w:rFonts w:ascii="Times New Roman" w:hAnsi="Times New Roman" w:eastAsia="方正小标宋简体" w:cs="Times New Roman"/>
          <w:bCs/>
          <w:kern w:val="0"/>
          <w:sz w:val="44"/>
          <w:szCs w:val="44"/>
          <w:lang w:bidi="ar"/>
        </w:rPr>
        <w:t>检查项目</w:t>
      </w:r>
    </w:p>
    <w:tbl>
      <w:tblPr>
        <w:tblStyle w:val="10"/>
        <w:tblW w:w="9251" w:type="dxa"/>
        <w:jc w:val="center"/>
        <w:tblLayout w:type="autofit"/>
        <w:tblCellMar>
          <w:top w:w="0" w:type="dxa"/>
          <w:left w:w="108" w:type="dxa"/>
          <w:bottom w:w="0" w:type="dxa"/>
          <w:right w:w="108" w:type="dxa"/>
        </w:tblCellMar>
      </w:tblPr>
      <w:tblGrid>
        <w:gridCol w:w="1317"/>
        <w:gridCol w:w="589"/>
        <w:gridCol w:w="876"/>
        <w:gridCol w:w="4422"/>
        <w:gridCol w:w="684"/>
        <w:gridCol w:w="1363"/>
      </w:tblGrid>
      <w:tr w14:paraId="60088042">
        <w:trPr>
          <w:cantSplit/>
          <w:tblHeader/>
          <w:jc w:val="center"/>
        </w:trPr>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65ECB00">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章节</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F75042">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bdr w:val="single" w:color="000000" w:sz="4" w:space="0"/>
                <w:lang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8255</wp:posOffset>
                  </wp:positionV>
                  <wp:extent cx="8255" cy="8255"/>
                  <wp:effectExtent l="0" t="0" r="0" b="0"/>
                  <wp:wrapNone/>
                  <wp:docPr id="1" name="图片_1"/>
                  <wp:cNvGraphicFramePr/>
                  <a:graphic xmlns:a="http://schemas.openxmlformats.org/drawingml/2006/main">
                    <a:graphicData uri="http://schemas.openxmlformats.org/drawingml/2006/picture">
                      <pic:pic xmlns:pic="http://schemas.openxmlformats.org/drawingml/2006/picture">
                        <pic:nvPicPr>
                          <pic:cNvPr id="1" name="图片_1"/>
                          <pic:cNvPicPr/>
                        </pic:nvPicPr>
                        <pic:blipFill>
                          <a:blip r:embed="rId5"/>
                          <a:stretch>
                            <a:fillRect/>
                          </a:stretch>
                        </pic:blipFill>
                        <pic:spPr>
                          <a:xfrm>
                            <a:off x="0" y="0"/>
                            <a:ext cx="8255" cy="8255"/>
                          </a:xfrm>
                          <a:prstGeom prst="rect">
                            <a:avLst/>
                          </a:prstGeom>
                          <a:noFill/>
                          <a:ln>
                            <a:noFill/>
                          </a:ln>
                        </pic:spPr>
                      </pic:pic>
                    </a:graphicData>
                  </a:graphic>
                </wp:anchor>
              </w:drawing>
            </w:r>
            <w:r>
              <w:rPr>
                <w:rFonts w:ascii="Times New Roman" w:hAnsi="Times New Roman" w:eastAsia="黑体" w:cs="Times New Roman"/>
                <w:kern w:val="0"/>
                <w:sz w:val="22"/>
                <w:szCs w:val="22"/>
                <w:bdr w:val="single" w:color="000000" w:sz="4" w:space="0"/>
                <w:lang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8255</wp:posOffset>
                  </wp:positionV>
                  <wp:extent cx="8255" cy="8255"/>
                  <wp:effectExtent l="0" t="0" r="0" b="0"/>
                  <wp:wrapNone/>
                  <wp:docPr id="2" name="图片_1_SpCnt_1"/>
                  <wp:cNvGraphicFramePr/>
                  <a:graphic xmlns:a="http://schemas.openxmlformats.org/drawingml/2006/main">
                    <a:graphicData uri="http://schemas.openxmlformats.org/drawingml/2006/picture">
                      <pic:pic xmlns:pic="http://schemas.openxmlformats.org/drawingml/2006/picture">
                        <pic:nvPicPr>
                          <pic:cNvPr id="2" name="图片_1_SpCnt_1"/>
                          <pic:cNvPicPr/>
                        </pic:nvPicPr>
                        <pic:blipFill>
                          <a:blip r:embed="rId5"/>
                          <a:stretch>
                            <a:fillRect/>
                          </a:stretch>
                        </pic:blipFill>
                        <pic:spPr>
                          <a:xfrm>
                            <a:off x="0" y="0"/>
                            <a:ext cx="8255" cy="8255"/>
                          </a:xfrm>
                          <a:prstGeom prst="rect">
                            <a:avLst/>
                          </a:prstGeom>
                          <a:noFill/>
                          <a:ln>
                            <a:noFill/>
                          </a:ln>
                        </pic:spPr>
                      </pic:pic>
                    </a:graphicData>
                  </a:graphic>
                </wp:anchor>
              </w:drawing>
            </w:r>
            <w:r>
              <w:rPr>
                <w:rFonts w:ascii="Times New Roman" w:hAnsi="Times New Roman" w:eastAsia="黑体" w:cs="Times New Roman"/>
                <w:kern w:val="0"/>
                <w:sz w:val="22"/>
                <w:szCs w:val="22"/>
                <w:lang w:bidi="ar"/>
              </w:rPr>
              <w:t>序号</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916643">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条款</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3D0FD46">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52D650F">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风险等级</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98D56A2">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lang w:bidi="ar"/>
              </w:rPr>
              <w:t>规范条款/附录条款</w:t>
            </w:r>
          </w:p>
        </w:tc>
      </w:tr>
      <w:tr w14:paraId="15988507">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E468FDA">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第一章</w:t>
            </w:r>
          </w:p>
          <w:p w14:paraId="1FA3ABC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总则</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84736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F4206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71FF9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B5888C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3ED2D5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《规范》第三条</w:t>
            </w:r>
          </w:p>
        </w:tc>
      </w:tr>
      <w:tr w14:paraId="0A3F83A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E604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D9FDE9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035A69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8EC685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企业应当将风险管理理念贯穿于质量管理体系运行全过程，所采取的控制措施应当与产品存在的风险相适应。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2981A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280591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《规范》第四条</w:t>
            </w:r>
          </w:p>
        </w:tc>
      </w:tr>
      <w:tr w14:paraId="31F1E294">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6B24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第二章质量保证</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33FB72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0FD5A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1465F4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5DCB7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425F45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《规范》第七条</w:t>
            </w:r>
          </w:p>
        </w:tc>
      </w:tr>
      <w:tr w14:paraId="18222EC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0413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594F81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C7FAD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DBD06A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企业应当为实现质量目标配备足够并符合要求的人员、厂房设施和设备等资源。</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0860B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1C101C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《规范》第八条</w:t>
            </w:r>
          </w:p>
        </w:tc>
      </w:tr>
      <w:tr w14:paraId="73D4549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223F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DE4479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ECE48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2042F6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企业各级人员应当共同参与实现质量目标的各项活动并承担相应责任。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1DE18B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213130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《规范》第八条</w:t>
            </w:r>
          </w:p>
        </w:tc>
      </w:tr>
      <w:tr w14:paraId="479F0A7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0522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F9DBC9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26E41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694AACC">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企业应当建立质量保证系统并有完整的质量管理体系文件，保证质量管理体系有效运行。</w:t>
            </w:r>
          </w:p>
          <w:p w14:paraId="25249C1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质量保证系统应当确保：</w:t>
            </w:r>
          </w:p>
          <w:p w14:paraId="2C0274B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（一）医疗器械的设计开发、生产管理和质量控制活动符合本规范；</w:t>
            </w:r>
          </w:p>
          <w:p w14:paraId="43A97E9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（二）管理职责明确；</w:t>
            </w:r>
          </w:p>
          <w:p w14:paraId="7DBE7D3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（三）采购和使用的原材料正确无误；</w:t>
            </w:r>
          </w:p>
          <w:p w14:paraId="0202242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（四）中间产品得到有效控制；</w:t>
            </w:r>
          </w:p>
          <w:p w14:paraId="1CF5A24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（五）验证、确认活动符合要求；</w:t>
            </w:r>
          </w:p>
          <w:p w14:paraId="44C4DCC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（六）严格按照规程进行生产和检验；</w:t>
            </w:r>
          </w:p>
          <w:p w14:paraId="7A3932A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（七）每批（台）产品经审核批准后放行；</w:t>
            </w:r>
          </w:p>
          <w:p w14:paraId="4E1125A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（八）贮存、运输以及安装等环节有保证产品质量的措施；</w:t>
            </w:r>
          </w:p>
          <w:p w14:paraId="7EBE929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（九）委托研发、委托生产、外协加工和委托检验等活动处于受控状态。</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095C6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4112EC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《规范》第九条</w:t>
            </w:r>
          </w:p>
        </w:tc>
      </w:tr>
      <w:tr w14:paraId="45851BB6">
        <w:tblPrEx>
          <w:tblCellMar>
            <w:top w:w="0" w:type="dxa"/>
            <w:left w:w="108" w:type="dxa"/>
            <w:bottom w:w="0" w:type="dxa"/>
            <w:right w:w="108" w:type="dxa"/>
          </w:tblCellMar>
        </w:tblPrEx>
        <w:trPr>
          <w:cantSplit/>
          <w:trHeight w:val="2296"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A9B0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ADEF66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C071CE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8C771C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9D4513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B43354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《规范》第十条</w:t>
            </w:r>
          </w:p>
        </w:tc>
      </w:tr>
      <w:tr w14:paraId="088EE3E5">
        <w:tblPrEx>
          <w:tblCellMar>
            <w:top w:w="0" w:type="dxa"/>
            <w:left w:w="108" w:type="dxa"/>
            <w:bottom w:w="0" w:type="dxa"/>
            <w:right w:w="108" w:type="dxa"/>
          </w:tblCellMar>
        </w:tblPrEx>
        <w:trPr>
          <w:cantSplit/>
          <w:trHeight w:val="1727"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EC52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4C6537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A7E91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3262EC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29C91F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4E4399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《规范》第十一条</w:t>
            </w:r>
          </w:p>
        </w:tc>
      </w:tr>
      <w:tr w14:paraId="18040C58">
        <w:tblPrEx>
          <w:tblCellMar>
            <w:top w:w="0" w:type="dxa"/>
            <w:left w:w="108" w:type="dxa"/>
            <w:bottom w:w="0" w:type="dxa"/>
            <w:right w:w="108" w:type="dxa"/>
          </w:tblCellMar>
        </w:tblPrEx>
        <w:trPr>
          <w:cantSplit/>
          <w:trHeight w:val="1689"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3D4D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F17C6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E7AA6D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2E9112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C36FB6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49DB4F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《规范》第十二条</w:t>
            </w:r>
          </w:p>
        </w:tc>
      </w:tr>
      <w:tr w14:paraId="298E3890">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551A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CD7847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88875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450603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企业应当收集产品全生命周期质量风险信息，定期实施质量风险管理回顾，确保质量风险管理措施持续有效。</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A81C5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64542D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《规范》第十三条</w:t>
            </w:r>
          </w:p>
        </w:tc>
      </w:tr>
      <w:tr w14:paraId="6D8762B2">
        <w:tblPrEx>
          <w:tblCellMar>
            <w:top w:w="0" w:type="dxa"/>
            <w:left w:w="108" w:type="dxa"/>
            <w:bottom w:w="0" w:type="dxa"/>
            <w:right w:w="108" w:type="dxa"/>
          </w:tblCellMar>
        </w:tblPrEx>
        <w:trPr>
          <w:cantSplit/>
          <w:trHeight w:val="1020" w:hRule="atLeas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440536">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第三章</w:t>
            </w:r>
          </w:p>
          <w:p w14:paraId="313D878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机构与人员</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D872EE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C4E13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C35299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企业应当建立与医疗器械生产相适应的组织机构，明确各部门的职责和权限，明确质量管理职能。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459D52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89ED3B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《规范》第十四条</w:t>
            </w:r>
          </w:p>
        </w:tc>
      </w:tr>
      <w:tr w14:paraId="7ABBEE29">
        <w:tblPrEx>
          <w:tblCellMar>
            <w:top w:w="0" w:type="dxa"/>
            <w:left w:w="108" w:type="dxa"/>
            <w:bottom w:w="0" w:type="dxa"/>
            <w:right w:w="108" w:type="dxa"/>
          </w:tblCellMar>
        </w:tblPrEx>
        <w:trPr>
          <w:cantSplit/>
          <w:trHeight w:val="68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0F14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2EC021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01EA9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860998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生产管理部门和质量管理部门负责人不得互相兼任。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E7029A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EBBB9D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《规范》第十四条</w:t>
            </w:r>
          </w:p>
        </w:tc>
      </w:tr>
      <w:tr w14:paraId="42361C74">
        <w:tblPrEx>
          <w:tblCellMar>
            <w:top w:w="0" w:type="dxa"/>
            <w:left w:w="108" w:type="dxa"/>
            <w:bottom w:w="0" w:type="dxa"/>
            <w:right w:w="108" w:type="dxa"/>
          </w:tblCellMar>
        </w:tblPrEx>
        <w:trPr>
          <w:cantSplit/>
          <w:trHeight w:val="68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1898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A00943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C5AD1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FDEE61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企业应当设立与所生产产品相适应的质量管理部门。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52D5E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AB369E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《规范》第十五条</w:t>
            </w:r>
          </w:p>
        </w:tc>
      </w:tr>
      <w:tr w14:paraId="2E0B0285">
        <w:tblPrEx>
          <w:tblCellMar>
            <w:top w:w="0" w:type="dxa"/>
            <w:left w:w="108" w:type="dxa"/>
            <w:bottom w:w="0" w:type="dxa"/>
            <w:right w:w="108" w:type="dxa"/>
          </w:tblCellMar>
        </w:tblPrEx>
        <w:trPr>
          <w:cantSplit/>
          <w:trHeight w:val="68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92C6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BBFD21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E1589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4E0085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质量管理部门应当参与和产品质量相关的各项活动，负责审核与本规范有关的文件。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38159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A5425C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《规范》第十五条</w:t>
            </w:r>
          </w:p>
        </w:tc>
      </w:tr>
      <w:tr w14:paraId="605F472B">
        <w:tblPrEx>
          <w:tblCellMar>
            <w:top w:w="0" w:type="dxa"/>
            <w:left w:w="108" w:type="dxa"/>
            <w:bottom w:w="0" w:type="dxa"/>
            <w:right w:w="108" w:type="dxa"/>
          </w:tblCellMar>
        </w:tblPrEx>
        <w:trPr>
          <w:cantSplit/>
          <w:trHeight w:val="68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D310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89F4AB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0E014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341DB9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质量管理部门应当独立履行质量保证和质量控制职责，并对产品质量有否决权。</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CDA14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A16C82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《规范》第十五条</w:t>
            </w:r>
          </w:p>
        </w:tc>
      </w:tr>
      <w:tr w14:paraId="5C492C94">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F28E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406CE1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1F4D8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5C04DA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企业应当配备足够数量并具有相应资质（含学历、培训和实践经验）的专业技术人员、管理人员、生产操作人员和专职检验人员。</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B6D95B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E0A082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《规范》第十六条</w:t>
            </w:r>
          </w:p>
        </w:tc>
      </w:tr>
      <w:tr w14:paraId="229930B8">
        <w:tblPrEx>
          <w:tblCellMar>
            <w:top w:w="0" w:type="dxa"/>
            <w:left w:w="108" w:type="dxa"/>
            <w:bottom w:w="0" w:type="dxa"/>
            <w:right w:w="108" w:type="dxa"/>
          </w:tblCellMar>
        </w:tblPrEx>
        <w:trPr>
          <w:cantSplit/>
          <w:trHeight w:val="737"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ACDA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C7E23C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4F109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958ABB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企业应当明确规定每个岗位的职责，岗位职责不得遗漏，交叉的职责应当有明确规定。</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AC5E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8A12CB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《规范》第十六条</w:t>
            </w:r>
          </w:p>
        </w:tc>
      </w:tr>
      <w:tr w14:paraId="09B8E6B9">
        <w:tblPrEx>
          <w:tblCellMar>
            <w:top w:w="0" w:type="dxa"/>
            <w:left w:w="108" w:type="dxa"/>
            <w:bottom w:w="0" w:type="dxa"/>
            <w:right w:w="108" w:type="dxa"/>
          </w:tblCellMar>
        </w:tblPrEx>
        <w:trPr>
          <w:cantSplit/>
          <w:trHeight w:val="2608"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DF58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695EE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3BD35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EBC16F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9D1394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54A03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《规范》第十七条</w:t>
            </w:r>
          </w:p>
        </w:tc>
      </w:tr>
      <w:tr w14:paraId="3C42979D">
        <w:tblPrEx>
          <w:tblCellMar>
            <w:top w:w="0" w:type="dxa"/>
            <w:left w:w="108" w:type="dxa"/>
            <w:bottom w:w="0" w:type="dxa"/>
            <w:right w:w="108" w:type="dxa"/>
          </w:tblCellMar>
        </w:tblPrEx>
        <w:trPr>
          <w:cantSplit/>
          <w:trHeight w:val="1304"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498A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BE419B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56E13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CBB057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关键岗位人员应当熟悉医疗器械相关法律法规，具有质量管理的实践经验，有能力对生产管理和质量管理中的实际问题作出正确的判断和处理。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F9DFC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B175B1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《规范》第十七条</w:t>
            </w:r>
          </w:p>
        </w:tc>
      </w:tr>
      <w:tr w14:paraId="3C1A8C12">
        <w:tblPrEx>
          <w:tblCellMar>
            <w:top w:w="0" w:type="dxa"/>
            <w:left w:w="108" w:type="dxa"/>
            <w:bottom w:w="0" w:type="dxa"/>
            <w:right w:w="108" w:type="dxa"/>
          </w:tblCellMar>
        </w:tblPrEx>
        <w:trPr>
          <w:cantSplit/>
          <w:trHeight w:val="1417"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99A9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07172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FDC5A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A8B5D1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企业法定代表人、主要负责人负责组织制定企业的质量方针和质量目标，并确保质量管理体系有效运行所需的人力资源、基础设施和工作环境等。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FD285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A001EB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3265AE90">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107D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C9E9F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837342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AAD3AF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企业法定代表人、主要负责人负责组织实施管理评审，定期对质量管理体系运行情况进行评估，并持续改进。</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189D3F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59B8E1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17D63B56">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531A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BCD4D9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A09D3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6FD393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企业法定代表人、主要负责人应当确保管理者代表、质量管理部门负责人和产品放行审核人独立履行职责，不受企业内部因素干扰。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EF013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86C790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2AA17BF4">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96BB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8E2691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314FA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5ACB4C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企业法定代表人、主要负责人对医疗器械生产全面负责，应当按照相关法律、法规、规章、强制性标准以及经注册的产品技术要求组织生产。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05AFB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B627F7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《规范》第十八条</w:t>
            </w:r>
          </w:p>
        </w:tc>
      </w:tr>
      <w:tr w14:paraId="5AF69BB0">
        <w:tblPrEx>
          <w:tblCellMar>
            <w:top w:w="0" w:type="dxa"/>
            <w:left w:w="108" w:type="dxa"/>
            <w:bottom w:w="0" w:type="dxa"/>
            <w:right w:w="108" w:type="dxa"/>
          </w:tblCellMar>
        </w:tblPrEx>
        <w:trPr>
          <w:cantSplit/>
          <w:trHeight w:val="737"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3C3C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B92EDC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E54F5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81A4B2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企业应当在高层管理人员中任命一名管理者代表。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09326C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B716D1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《规范》第十九条</w:t>
            </w:r>
          </w:p>
        </w:tc>
      </w:tr>
      <w:tr w14:paraId="7B0D56C3">
        <w:tblPrEx>
          <w:tblCellMar>
            <w:top w:w="0" w:type="dxa"/>
            <w:left w:w="108" w:type="dxa"/>
            <w:bottom w:w="0" w:type="dxa"/>
            <w:right w:w="108" w:type="dxa"/>
          </w:tblCellMar>
        </w:tblPrEx>
        <w:trPr>
          <w:cantSplit/>
          <w:trHeight w:val="2324"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C6BF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519384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5CB62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08BA24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二类、第三类医疗器械企业管理者代表应当具有医疗器械相关专业大学本科及以上学历或者中级及以上技术职称。管理者代表原则上应当具有三年及以上医疗器械质量管理或者生产、技术管理工作经验，熟悉产品生产和质量管理情况，具有良好履职能力。</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4696EC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299341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《规范》第十九条</w:t>
            </w:r>
          </w:p>
        </w:tc>
      </w:tr>
      <w:tr w14:paraId="63E94C61">
        <w:tblPrEx>
          <w:tblCellMar>
            <w:top w:w="0" w:type="dxa"/>
            <w:left w:w="108" w:type="dxa"/>
            <w:bottom w:w="0" w:type="dxa"/>
            <w:right w:w="108" w:type="dxa"/>
          </w:tblCellMar>
        </w:tblPrEx>
        <w:trPr>
          <w:cantSplit/>
          <w:trHeight w:val="4819"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84C3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FD5D84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6C30D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A07CF4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管理者代表至少应当履行下列职责</w:t>
            </w:r>
            <w:r>
              <w:rPr>
                <w:rFonts w:hint="default" w:ascii="Times New Roman" w:hAnsi="Times New Roman" w:eastAsia="仿宋_GB2312" w:cs="Times New Roman"/>
                <w:kern w:val="0"/>
                <w:sz w:val="22"/>
                <w:szCs w:val="22"/>
                <w:lang w:bidi="ar"/>
              </w:rPr>
              <w:t>：</w:t>
            </w:r>
          </w:p>
          <w:p w14:paraId="3C410CC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（一）贯彻执行相关法律、法规、规章、强制性标准以及经注册的产品技术要求；</w:t>
            </w:r>
          </w:p>
          <w:p w14:paraId="1C503C5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（二）建立健全与所生产产品相适应的质量管理体系并保持其有效运行；</w:t>
            </w:r>
          </w:p>
          <w:p w14:paraId="0A7F836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（三）确保产品符合放行要求，组织开展上市后产品质量信息收集工作；</w:t>
            </w:r>
          </w:p>
          <w:p w14:paraId="3955880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（四）组织开展质量管理体系自查、不良事件监测以及召回等工作，定期向企业法定代表人、主要负责人报告质量管理体系的运行情况和改进需求；</w:t>
            </w:r>
          </w:p>
          <w:p w14:paraId="3F100D6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（五）配合药品监督管理部门开展监督检查，针对发现的问题，组织企业相关部门按照要求及时整改。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2B2A6B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F07B66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《规范》第十九条</w:t>
            </w:r>
          </w:p>
        </w:tc>
      </w:tr>
      <w:tr w14:paraId="13419EE7">
        <w:tblPrEx>
          <w:tblCellMar>
            <w:top w:w="0" w:type="dxa"/>
            <w:left w:w="108" w:type="dxa"/>
            <w:bottom w:w="0" w:type="dxa"/>
            <w:right w:w="108" w:type="dxa"/>
          </w:tblCellMar>
        </w:tblPrEx>
        <w:trPr>
          <w:cantSplit/>
          <w:trHeight w:val="170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D26A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78E46B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BB9B4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259DFA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第二类、第三类医疗器械企业质量管理部门负责人应当具有医疗器械相关专业大学本科及以上学历或者中级及以上专业技术职称。质量管理部门负责人应当具备三年及以上医疗器械生产或者质量管理经验。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0ADE2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CD44B6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《规范》第二十条</w:t>
            </w:r>
          </w:p>
        </w:tc>
      </w:tr>
      <w:tr w14:paraId="4963689D">
        <w:tblPrEx>
          <w:tblCellMar>
            <w:top w:w="0" w:type="dxa"/>
            <w:left w:w="108" w:type="dxa"/>
            <w:bottom w:w="0" w:type="dxa"/>
            <w:right w:w="108" w:type="dxa"/>
          </w:tblCellMar>
        </w:tblPrEx>
        <w:trPr>
          <w:cantSplit/>
          <w:trHeight w:val="4535"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1573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70CB9D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091CCD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68DDF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质量管理部门负责人应当履行下列职责：</w:t>
            </w:r>
          </w:p>
          <w:p w14:paraId="25648A1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（一）确保原材料和产品的生产、检验均符合相关法律、法规、规章、强制性标准以及经注册的产品技术要求；</w:t>
            </w:r>
          </w:p>
          <w:p w14:paraId="40E475CC">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（二）组织产品放行审核；</w:t>
            </w:r>
          </w:p>
          <w:p w14:paraId="7ECD245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（三）确保生产过程中所有重大偏差和不合格情况得到调查并及时、有效处理；</w:t>
            </w:r>
          </w:p>
          <w:p w14:paraId="760F8207">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（四）组织上市后产品质量管理活动，确保所有与产品质量有关的退货、投诉、不良事件得到调查并及时、有效处理；</w:t>
            </w:r>
          </w:p>
          <w:p w14:paraId="7F10836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（五）确保完成产品质量年度回顾分析；</w:t>
            </w:r>
          </w:p>
          <w:p w14:paraId="0FF0395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（六）确保本部门人员经过相关培训，掌握相关法规、理论知识和实际操作技能；</w:t>
            </w:r>
          </w:p>
          <w:p w14:paraId="5B5CABA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（七）负责与产品质量有关的其他活动。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5D41EC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042AB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《规范》第二十条</w:t>
            </w:r>
          </w:p>
        </w:tc>
      </w:tr>
      <w:tr w14:paraId="2649C14F">
        <w:tblPrEx>
          <w:tblCellMar>
            <w:top w:w="0" w:type="dxa"/>
            <w:left w:w="108" w:type="dxa"/>
            <w:bottom w:w="0" w:type="dxa"/>
            <w:right w:w="108" w:type="dxa"/>
          </w:tblCellMar>
        </w:tblPrEx>
        <w:trPr>
          <w:cantSplit/>
          <w:trHeight w:val="1134"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2582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CCD766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2CB1D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38E52B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生产管理部门负责人应当具有医疗器械相关专业大学专科及以上学历，具备三年及以上医疗器械生产或者质量管理经验。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28E76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174684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《规范》第二十一条</w:t>
            </w:r>
          </w:p>
        </w:tc>
      </w:tr>
      <w:tr w14:paraId="102247B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E2D8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F907F3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8DE03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760963E">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生产管理部门负责人应当履行下列职责：</w:t>
            </w:r>
          </w:p>
          <w:p w14:paraId="24853E15">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（一）确保按照生产工艺规程、作业指导书等组织生产；</w:t>
            </w:r>
          </w:p>
          <w:p w14:paraId="107E0564">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（二）确保生产记录真实、准确、完整、及时和可追溯；</w:t>
            </w:r>
          </w:p>
          <w:p w14:paraId="0CE03F55">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（三）组织实施厂房设施、设备的维护保养，确保其保持良好的运行状态；</w:t>
            </w:r>
          </w:p>
          <w:p w14:paraId="51B5E050">
            <w:pPr>
              <w:widowControl/>
              <w:spacing w:line="30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（四）确保本部门的员工经过培训，具备与其岗位要求相适应的知识和实际操作技能；</w:t>
            </w:r>
          </w:p>
          <w:p w14:paraId="6B3E4178">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（五）负责与产品生产有关的其他活动。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4825E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FCE31C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《规范》第二十一条</w:t>
            </w:r>
          </w:p>
        </w:tc>
      </w:tr>
      <w:tr w14:paraId="6641C5B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9036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CF6D8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D7B34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3F52533">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97A87F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81BDCC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《规范》第二十二条</w:t>
            </w:r>
          </w:p>
        </w:tc>
      </w:tr>
      <w:tr w14:paraId="78B7604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1442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F3F2E7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5092C0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71FD259">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C1A16A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EEC178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《规范》第二十三条</w:t>
            </w:r>
          </w:p>
        </w:tc>
      </w:tr>
      <w:tr w14:paraId="2BDF05C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A007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26E179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C9FF1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DA1E2C5">
            <w:pPr>
              <w:widowControl/>
              <w:spacing w:line="31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指定部门或者专人负责培训管理工作，建立培训制度，制定培训计划，保留培训记录，并对培训实际效果进行评估。在洁净室（区）工作的人员应当定期进行卫生和微生物学基础知识、洁净作业等方面培训。临时进入洁净室（区）的人员，应当对其进行指导和监督。</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00E47E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413F5B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《规范》第二十三条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2.1.1</w:t>
            </w:r>
          </w:p>
        </w:tc>
      </w:tr>
      <w:tr w14:paraId="0760A70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B2FE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E35E87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573D0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46AD678">
            <w:pPr>
              <w:widowControl/>
              <w:spacing w:line="31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从事影响产品质量工作的人员，企业应当根据生产产品特性对其健康进行管理，并建立健康档案。直接接触原材料和产品的人员每年至少体检一次。患有传染性和感染性疾病的人员不得从事直接接触产品的工作。</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64B22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A092A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《规范》第二十四条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2.1.3</w:t>
            </w:r>
          </w:p>
        </w:tc>
      </w:tr>
      <w:tr w14:paraId="7993C9BC">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69F0888">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第四章</w:t>
            </w:r>
          </w:p>
          <w:p w14:paraId="66D142D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厂房与设施</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89A2C2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21A44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6DA5B05">
            <w:pPr>
              <w:widowControl/>
              <w:spacing w:line="31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厂房的选址、设计、布局、建造、改造和维护应当符合无菌医疗器械生产要求，能够最大限度地避免污染、交叉污染、混淆和差错，便于清洁、操作和维护。</w:t>
            </w:r>
          </w:p>
          <w:p w14:paraId="7D43C05B">
            <w:pPr>
              <w:widowControl/>
              <w:spacing w:line="310"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（一）厂区应当远离有污染的空气和水等污染源的区域；地面、路面周围环境及运输等不应对无菌医疗器械的生产造成污染</w:t>
            </w:r>
            <w:r>
              <w:rPr>
                <w:rFonts w:hint="default" w:ascii="Times New Roman" w:hAnsi="Times New Roman" w:eastAsia="仿宋_GB2312" w:cs="Times New Roman"/>
                <w:kern w:val="0"/>
                <w:sz w:val="22"/>
                <w:szCs w:val="22"/>
                <w:lang w:bidi="ar"/>
              </w:rPr>
              <w:t>；</w:t>
            </w:r>
          </w:p>
          <w:p w14:paraId="3164C939">
            <w:pPr>
              <w:widowControl/>
              <w:spacing w:line="31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（二）行政区、生活区和辅助区的总体布局应当合理，不得对生产区有不良影响。</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59D3E6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3D6ECB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《规范》第二十五条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2.2.1</w:t>
            </w:r>
          </w:p>
        </w:tc>
      </w:tr>
      <w:tr w14:paraId="7AC718F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C238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4BD848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40C25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CD3ED0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企业应当根据所生产产品特性、工艺流程以及相应洁净级别要求合理设计、布局和使用厂房与设施。</w:t>
            </w:r>
          </w:p>
          <w:p w14:paraId="0F660DA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（一）洁净室（区）应当按照无菌医疗器械的生产工艺流程及所要求的空气洁净度级别进行合理布局，人流、物流走向应当合理</w:t>
            </w:r>
            <w:r>
              <w:rPr>
                <w:rFonts w:hint="default" w:ascii="Times New Roman" w:hAnsi="Times New Roman" w:eastAsia="仿宋_GB2312" w:cs="Times New Roman"/>
                <w:kern w:val="0"/>
                <w:sz w:val="22"/>
                <w:szCs w:val="22"/>
                <w:lang w:bidi="ar"/>
              </w:rPr>
              <w:t>；</w:t>
            </w:r>
          </w:p>
          <w:p w14:paraId="6101B50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（二）同一洁净室（区）内或相邻洁净室（区）间的生产操作不得互相交叉污染</w:t>
            </w:r>
            <w:r>
              <w:rPr>
                <w:rFonts w:hint="default" w:ascii="Times New Roman" w:hAnsi="Times New Roman" w:eastAsia="仿宋_GB2312" w:cs="Times New Roman"/>
                <w:kern w:val="0"/>
                <w:sz w:val="22"/>
                <w:szCs w:val="22"/>
                <w:lang w:bidi="ar"/>
              </w:rPr>
              <w:t>；</w:t>
            </w:r>
          </w:p>
          <w:p w14:paraId="368313F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（三）洁净室（区）的内表面应当便于清洁，不受清洁和消毒的影响。洁净室（区）内操作台应当光滑、平整、不脱落尘粒和纤维，不易积尘并便于清洁处理和消毒。</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24893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5E3C7D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《规范》第二十六条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2.2.9、2.2.13、2.2.14</w:t>
            </w:r>
          </w:p>
        </w:tc>
      </w:tr>
      <w:tr w14:paraId="283A242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D0D3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7E8349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F18A9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B83BCA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有整洁的生产环境，有适当的照明、温度、湿度和通风控制条件，符合产品质量以及相关技术标准的要求。洁净室（区）的温度和相对湿度应当与产品生产工艺要求相适应。无特殊要求时，温度应当控制在18～28</w:t>
            </w:r>
            <w:r>
              <w:rPr>
                <w:rFonts w:hint="eastAsia" w:ascii="仿宋_GB2312" w:hAnsi="仿宋_GB2312" w:eastAsia="仿宋_GB2312" w:cs="仿宋_GB2312"/>
                <w:kern w:val="0"/>
                <w:sz w:val="22"/>
                <w:szCs w:val="22"/>
                <w:lang w:bidi="ar"/>
              </w:rPr>
              <w:t>℃</w:t>
            </w:r>
            <w:r>
              <w:rPr>
                <w:rFonts w:ascii="Times New Roman" w:hAnsi="Times New Roman" w:eastAsia="仿宋_GB2312" w:cs="Times New Roman"/>
                <w:kern w:val="0"/>
                <w:sz w:val="22"/>
                <w:szCs w:val="22"/>
                <w:lang w:bidi="ar"/>
              </w:rPr>
              <w:t>，相对湿度控制在45%～65%。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E9003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B4BB76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《规范》第二十六条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2.2.11</w:t>
            </w:r>
          </w:p>
        </w:tc>
      </w:tr>
      <w:tr w14:paraId="0E0ED019">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D140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99A4A8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7A2BF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4A9B0AC">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厂房与设施的设计和安装应当能够有效防尘</w:t>
            </w:r>
            <w:r>
              <w:rPr>
                <w:rFonts w:ascii="Times New Roman" w:hAnsi="Times New Roman" w:eastAsia="仿宋_GB2312" w:cs="Times New Roman"/>
                <w:b/>
                <w:bCs/>
                <w:kern w:val="0"/>
                <w:sz w:val="22"/>
                <w:szCs w:val="22"/>
                <w:lang w:bidi="ar"/>
              </w:rPr>
              <w:t>、</w:t>
            </w:r>
            <w:r>
              <w:rPr>
                <w:rFonts w:ascii="Times New Roman" w:hAnsi="Times New Roman" w:eastAsia="仿宋_GB2312" w:cs="Times New Roman"/>
                <w:kern w:val="0"/>
                <w:sz w:val="22"/>
                <w:szCs w:val="22"/>
                <w:lang w:bidi="ar"/>
              </w:rPr>
              <w:t>防止昆虫或者其他动物进入，并根据产品特性采取必要的防护措施。</w:t>
            </w:r>
          </w:p>
          <w:p w14:paraId="308F8ED8">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（一）洁净室（区）的门、窗及安全门应当密闭，洁净室（区）的门应当向洁净度高的方向开启</w:t>
            </w:r>
            <w:r>
              <w:rPr>
                <w:rFonts w:hint="default" w:ascii="Times New Roman" w:hAnsi="Times New Roman" w:eastAsia="仿宋_GB2312" w:cs="Times New Roman"/>
                <w:kern w:val="0"/>
                <w:sz w:val="22"/>
                <w:szCs w:val="22"/>
                <w:lang w:bidi="ar"/>
              </w:rPr>
              <w:t>；</w:t>
            </w:r>
          </w:p>
          <w:p w14:paraId="0BD9F2F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（二）进入洁净室（区）的管道、进回风口布局应当合理，水、电、气输送线路与墙体接口处应当可靠密封，照明灯具不得悬吊</w:t>
            </w:r>
            <w:r>
              <w:rPr>
                <w:rFonts w:hint="default" w:ascii="Times New Roman" w:hAnsi="Times New Roman" w:eastAsia="仿宋_GB2312" w:cs="Times New Roman"/>
                <w:kern w:val="0"/>
                <w:sz w:val="22"/>
                <w:szCs w:val="22"/>
                <w:lang w:bidi="ar"/>
              </w:rPr>
              <w:t>；</w:t>
            </w:r>
          </w:p>
          <w:p w14:paraId="27921A6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（三）洁净室（区）内，水池或地漏应当有适当的设计和维护，并安装易于清洁且带有空气阻断功能的装置以防倒灌，同外部排水系统的连接方式应当能够防止微生物的侵入。</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DC5675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DDC522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《规范》第二十七条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2.2.12、2.2.14</w:t>
            </w:r>
          </w:p>
        </w:tc>
      </w:tr>
      <w:tr w14:paraId="603F985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C433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498EB1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3CE19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3162E9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厂房与设施的维护和维修活动不得影响产品质量。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7BF8A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F966A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《规范》第二十七条</w:t>
            </w:r>
          </w:p>
        </w:tc>
      </w:tr>
      <w:tr w14:paraId="2068024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51DC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1B9891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68BA3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164317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生产区应当有足够的空间，与所生产产品和规模相适应。洁净室（区）内的人数应当与洁净室（区）面积相适应。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81DE4D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1897F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《规范》第二十八条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2.2.16</w:t>
            </w:r>
          </w:p>
        </w:tc>
      </w:tr>
      <w:tr w14:paraId="610FA5E3">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7FAE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17E302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13642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06CAC5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同一区域内有多条生产线的，企业应当采取有效措施避免混淆和差错。</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E7A89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933E86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《规范》第二十八条</w:t>
            </w:r>
          </w:p>
        </w:tc>
      </w:tr>
      <w:tr w14:paraId="01D40AB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D505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FB2EA8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C5E47B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051D2A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仓储区应当能够满足原材料、中间产品、成品等贮存条件要求，按照待检、合格、不合格、退货或者召回等情形进行合理存放，避免混淆和差错，便于检查和监控，贮存场所应当具有相应的环境监控设施。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495E16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FADFD6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《规范》第二十九条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2.6.12</w:t>
            </w:r>
          </w:p>
        </w:tc>
      </w:tr>
      <w:tr w14:paraId="648E318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F0E7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32B176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25850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4DF65E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有毒、易燃、易爆和其他危险品的验收、贮存、管理等应当执行国家有关规定。</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BB1D27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D70A92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《规范》第二十九条</w:t>
            </w:r>
          </w:p>
        </w:tc>
      </w:tr>
      <w:tr w14:paraId="64CA14B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7A0F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4A6955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89E24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7A52AB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企业应当配备与产品生产规模、品种、检验要求相适应的检验场所和设施。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B5123F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B3745B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《规范》第三十条</w:t>
            </w:r>
          </w:p>
        </w:tc>
      </w:tr>
      <w:tr w14:paraId="1F67DE7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83D4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787F72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C262D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8A42D88">
            <w:pPr>
              <w:widowControl/>
              <w:jc w:val="both"/>
              <w:textAlignment w:val="center"/>
              <w:rPr>
                <w:rFonts w:ascii="Times New Roman" w:hAnsi="Times New Roman" w:eastAsia="仿宋_GB2312" w:cs="Times New Roman"/>
                <w:sz w:val="22"/>
                <w:szCs w:val="22"/>
              </w:rPr>
            </w:pPr>
            <w:bookmarkStart w:id="0" w:name="OLE_LINK1"/>
            <w:r>
              <w:rPr>
                <w:rFonts w:ascii="Times New Roman" w:hAnsi="Times New Roman" w:eastAsia="仿宋_GB2312" w:cs="Times New Roman"/>
                <w:kern w:val="0"/>
                <w:sz w:val="22"/>
                <w:szCs w:val="22"/>
                <w:lang w:bidi="ar"/>
              </w:rPr>
              <w:t>企业应当根据产品特性、生产工艺以及外部环境等配置相应设施，如空调净化系统、工艺用水系统、工艺用气系统以及防静电设施等。</w:t>
            </w:r>
            <w:bookmarkEnd w:id="0"/>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33528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39F427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《规范》第三十一条</w:t>
            </w:r>
          </w:p>
        </w:tc>
      </w:tr>
      <w:tr w14:paraId="4730E01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B156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F7D4B0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83E36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E36FD6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企业应当对相关设施进行确认并开展日常监测和维护，确保符合预定用途。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D35FD0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8F17F3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《规范》第三十一条</w:t>
            </w:r>
          </w:p>
        </w:tc>
      </w:tr>
      <w:tr w14:paraId="510554B5">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1CDD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3AD633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A2C18D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871778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企业应当根据所生产的无菌医疗器械的质量要求，确定在相应级别洁净室（区）内进行生产的过程，避免生产中的污染。洁净室（区）空气洁净度级别指标应当符合医疗器械相关行业标准的要求。</w:t>
            </w:r>
          </w:p>
          <w:p w14:paraId="1B82A17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介入到血管内的无菌医疗器械及需要在10,000级下的局部100级洁净室（区）内进行后续加工（如灌装封等）的无菌医疗器械或单包装出厂的配件，其末道清洁处理、组装、初包装、封口的生产区域和不经清洁处理的零部件的加工生产区域应当不低于10,000级洁净度级别</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bidi="ar"/>
              </w:rPr>
              <w:t xml:space="preserve"> </w:t>
            </w:r>
          </w:p>
          <w:p w14:paraId="0340323D">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与血液、骨髓腔或非自然腔道直接或间接接触的无菌医疗器械或单包装出厂的配件，其末道清洁处理、组装、初包装、封口的生产区域和不经清洁处理的零部件的加工生产区域应当不低于100,000级洁净度级别</w:t>
            </w:r>
            <w:r>
              <w:rPr>
                <w:rFonts w:hint="default" w:ascii="Times New Roman" w:hAnsi="Times New Roman" w:eastAsia="仿宋_GB2312" w:cs="Times New Roman"/>
                <w:kern w:val="0"/>
                <w:sz w:val="22"/>
                <w:szCs w:val="22"/>
                <w:lang w:bidi="ar"/>
              </w:rPr>
              <w:t>；</w:t>
            </w:r>
          </w:p>
          <w:p w14:paraId="0722DFC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（三）与人体损伤表面和粘膜接触的无菌医疗器械或单包装出厂的配件，其末道清洁处理、组装、初包装、封口的生产区域和不经清洁处理的零部件的加工生产区域应当不低于300,000级洁净度级别</w:t>
            </w:r>
            <w:r>
              <w:rPr>
                <w:rFonts w:hint="default" w:ascii="Times New Roman" w:hAnsi="Times New Roman" w:eastAsia="仿宋_GB2312" w:cs="Times New Roman"/>
                <w:kern w:val="0"/>
                <w:sz w:val="22"/>
                <w:szCs w:val="22"/>
                <w:lang w:bidi="ar"/>
              </w:rPr>
              <w:t>；</w:t>
            </w:r>
          </w:p>
          <w:p w14:paraId="27FB713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与无菌医疗器械的使用表面直接接触、不需清洁处理即使用的初包装材料，其生产环境洁净度级别的设置应当遵循与产品生产环境的洁净度级别相同的原则，使初包装材料的质量满足所包装无菌医疗器械的要求；若初包装材料不与无菌医疗器械使用表面直接接触，应当在不低于300,000级洁净室（区）内生产</w:t>
            </w:r>
            <w:r>
              <w:rPr>
                <w:rFonts w:hint="default" w:ascii="Times New Roman" w:hAnsi="Times New Roman" w:eastAsia="仿宋_GB2312" w:cs="Times New Roman"/>
                <w:kern w:val="0"/>
                <w:sz w:val="22"/>
                <w:szCs w:val="22"/>
                <w:lang w:bidi="ar"/>
              </w:rPr>
              <w:t>；</w:t>
            </w:r>
          </w:p>
          <w:p w14:paraId="6F400760">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（五）对于有要求或采用无菌操作技术加工的无菌医疗器械（包括医用材料），应当在10,000级下的局部100级洁净室（区）内进行生产。100级的洁净室（区）内不得设置地漏</w:t>
            </w:r>
            <w:r>
              <w:rPr>
                <w:rFonts w:hint="default" w:ascii="Times New Roman" w:hAnsi="Times New Roman" w:eastAsia="仿宋_GB2312" w:cs="Times New Roman"/>
                <w:kern w:val="0"/>
                <w:sz w:val="22"/>
                <w:szCs w:val="22"/>
                <w:lang w:bidi="ar"/>
              </w:rPr>
              <w:t>；</w:t>
            </w:r>
          </w:p>
          <w:p w14:paraId="779F1F2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六）洁净工作服清洗干燥间、洁具间、专用工位器具的末道清洁处理与消毒的区域的空气洁净度级别可低于生产区一个级别，但不得低于300,000级。无菌工作服的整理、灭菌后的贮存应当在10,000级洁净室（区）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6FDC12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5FE5BE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2.2.2、2.2.10、2.2.3、2.2.4、2.2.5、2.2.6、2.2.7、2.2.8、2.2.14</w:t>
            </w:r>
          </w:p>
        </w:tc>
      </w:tr>
      <w:tr w14:paraId="3C9A6A55">
        <w:tblPrEx>
          <w:tblCellMar>
            <w:top w:w="0" w:type="dxa"/>
            <w:left w:w="108" w:type="dxa"/>
            <w:bottom w:w="0" w:type="dxa"/>
            <w:right w:w="108" w:type="dxa"/>
          </w:tblCellMar>
        </w:tblPrEx>
        <w:trPr>
          <w:cantSplit/>
          <w:trHeight w:val="1738"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F640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B910C9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799DE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22A5DE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洁净室（区）空气净化系统应当经过确认并保持连续运行，维持相应的洁净度级别，并在一定周期后进行再确认。若停机后再次开启空气净化系统，应当进行必要的测试或验证，以确认仍能达到规定的洁净度级别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4698FD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B809D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2.3.2</w:t>
            </w:r>
          </w:p>
        </w:tc>
      </w:tr>
      <w:tr w14:paraId="3DD61B58">
        <w:tblPrEx>
          <w:tblCellMar>
            <w:top w:w="0" w:type="dxa"/>
            <w:left w:w="108" w:type="dxa"/>
            <w:bottom w:w="0" w:type="dxa"/>
            <w:right w:w="108" w:type="dxa"/>
          </w:tblCellMar>
        </w:tblPrEx>
        <w:trPr>
          <w:cantSplit/>
          <w:trHeight w:val="1557"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2859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6B8E6C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82B140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4.7.5</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1CA004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企业应当按照医疗器械相关行业标准要求对洁净室（区）的尘粒、浮游菌或沉降菌、换气次数或风速、静压差、温度和相对湿度进行定期检（监）测，并保存检（监）测记录。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93EDAF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C0F50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2.7.3</w:t>
            </w:r>
          </w:p>
        </w:tc>
      </w:tr>
      <w:tr w14:paraId="32BD8282">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9806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E191CE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DB4C6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4.7.6</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10940D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企业应当确定所需要的工艺用水。当生产过程中使用工艺用水时，应当配备相应的制水设备，并有防止污染的措施，用量较大时应当通过管道输送至洁净室（区）的用水点。工艺用水应当满足产品质量的要求。</w:t>
            </w:r>
          </w:p>
          <w:p w14:paraId="29973BC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b/>
                <w:bCs/>
                <w:kern w:val="0"/>
                <w:sz w:val="22"/>
                <w:szCs w:val="22"/>
                <w:lang w:bidi="ar"/>
              </w:rPr>
              <w:t>注：对于直接或间接接触心血管系统、淋巴系统或脑脊髓液或药液的无菌医疗器械，若水是最终产品的组成成分时，应当使用符合《中国药典》要求的注射用水；用于末道清洗应当使用符合《中国药典》要求的注射用水或用超滤等其他方法产生的同等要求的注射用水；与人体组织、骨腔或自然腔体接触的无菌医疗器械，末道清洗用水应当使用符合《中国药典》要求的纯化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04A99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6AAB027">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2.3.3</w:t>
            </w:r>
          </w:p>
          <w:p w14:paraId="57295B72">
            <w:pPr>
              <w:widowControl/>
              <w:jc w:val="center"/>
              <w:textAlignment w:val="center"/>
              <w:rPr>
                <w:rFonts w:ascii="Times New Roman" w:hAnsi="Times New Roman" w:eastAsia="仿宋_GB2312" w:cs="Times New Roman"/>
                <w:sz w:val="22"/>
                <w:szCs w:val="22"/>
              </w:rPr>
            </w:pPr>
          </w:p>
        </w:tc>
      </w:tr>
      <w:tr w14:paraId="0AD3BB1D">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AD3E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B3FD2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608B0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4.7.7</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EBDBBC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企业应当制定工艺用水的管理文件，工艺用水的储罐和输送管道应当满足产品要求，并定期清洗、消毒。</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6CD3F4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996BD1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2.3.4</w:t>
            </w:r>
          </w:p>
        </w:tc>
      </w:tr>
      <w:tr w14:paraId="6D159810">
        <w:tblPrEx>
          <w:tblCellMar>
            <w:top w:w="0" w:type="dxa"/>
            <w:left w:w="108" w:type="dxa"/>
            <w:bottom w:w="0" w:type="dxa"/>
            <w:right w:w="108" w:type="dxa"/>
          </w:tblCellMar>
        </w:tblPrEx>
        <w:trPr>
          <w:cantSplit/>
          <w:trHeight w:val="737"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327F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580839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0FFF4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4.7.8</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C32802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企业应当对工艺用水进行监控和定期检测，并保持监控记录和检测报告。</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B5857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C08FCA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2.7.2</w:t>
            </w:r>
          </w:p>
        </w:tc>
      </w:tr>
      <w:tr w14:paraId="453A2243">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093E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1EFB6A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4C0242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4.7.9</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211302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洁净室（区）内使用的压缩空气等工艺用气均应当经过净化处理。与产品使用表面直接接触的气体，其对产品的影响程度应当进行验证和控制，以适应所生产产品的要求。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DE42A1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CFF5E5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2.2.15</w:t>
            </w:r>
          </w:p>
        </w:tc>
      </w:tr>
      <w:tr w14:paraId="44F74FE8">
        <w:tblPrEx>
          <w:tblCellMar>
            <w:top w:w="0" w:type="dxa"/>
            <w:left w:w="108" w:type="dxa"/>
            <w:bottom w:w="0" w:type="dxa"/>
            <w:right w:w="108" w:type="dxa"/>
          </w:tblCellMar>
        </w:tblPrEx>
        <w:trPr>
          <w:cantSplit/>
          <w:trHeight w:val="1984"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3061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6269EC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F5537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97A1A8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环境有洁净级别要求的，洁净区与非洁净区之间静压差应当大于10帕斯卡，不同级别洁净区之间静压差应当大于5帕斯卡，并应有指示压差的装置。必要时，相同洁净度级别不同功能区域（操作间）之间也应当保持适当压差梯度。</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E3E2AB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E1381D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《规范》第三十二条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2.2.2</w:t>
            </w:r>
          </w:p>
        </w:tc>
      </w:tr>
      <w:tr w14:paraId="69EB59B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D8A5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134739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8EF3A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B3EE58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生产过程中产生大量粉尘、烟雾、毒害物等的操作区域应当保持相对负压，排至室外的废气应当经过净化处理并符合要求。厂房和设备还需针对上述有害物质及射线、紫外线等安装相应防护装置。</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19B749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10A86C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《规范》第三十二条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2.6.1</w:t>
            </w:r>
          </w:p>
        </w:tc>
      </w:tr>
      <w:tr w14:paraId="44CA4282">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B126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5E6E88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BF66F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BDF907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生产、检验、贮存等过程中使用信息化系统的，企业应当配备满足预定用途的硬件设施和软件运行环境，并采取适宜措施防止外来因素干扰。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3BF601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BD35A4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《规范》第三十三条</w:t>
            </w:r>
          </w:p>
        </w:tc>
      </w:tr>
      <w:tr w14:paraId="0D79B17D">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68FC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4FDD9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A2F452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BCEADE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生产、检验和贮存区不应作为非本区工作人员的直接通道。企业应当采取适宜措施，防止未经批准人员进入。</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2F091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1C2271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《规范》第三十四条</w:t>
            </w:r>
          </w:p>
        </w:tc>
      </w:tr>
      <w:tr w14:paraId="17E4DC1F">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2798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14524C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231E5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55A6CE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企业应当保存厂房和设施相关的文档，包括但不限于总平面布局图、生产区域分布图、使用说明、维护保养规定等。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A36758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A8AB9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《规范》第三十五条</w:t>
            </w:r>
          </w:p>
        </w:tc>
      </w:tr>
      <w:tr w14:paraId="3702F5B8">
        <w:tblPrEx>
          <w:tblCellMar>
            <w:top w:w="0" w:type="dxa"/>
            <w:left w:w="108" w:type="dxa"/>
            <w:bottom w:w="0" w:type="dxa"/>
            <w:right w:w="108" w:type="dxa"/>
          </w:tblCellMar>
        </w:tblPrEx>
        <w:trPr>
          <w:cantSplit/>
          <w:trHeight w:val="964" w:hRule="atLeas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6FF84">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 xml:space="preserve">第五章 </w:t>
            </w:r>
          </w:p>
          <w:p w14:paraId="673DC1A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设备</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ADEC65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35CA4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1AF68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企业应当配备与所生产产品和规模相匹配的生产设备、检验仪器和设备、工装夹具等，并确保有效运行。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D93FE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6C4A1F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《规范》第三十六条</w:t>
            </w:r>
          </w:p>
        </w:tc>
      </w:tr>
      <w:tr w14:paraId="592C1DF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6F3B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D96BC0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F3DC1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78780B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设备和仪器的设计、选型、安装、维护和维修应当符合预定用途，便于操作、清洁和维护。</w:t>
            </w:r>
          </w:p>
          <w:p w14:paraId="5B49032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（一）生产设备、工装夹具和工位器具应当符合洁净环境控制和工艺文件的要求</w:t>
            </w:r>
            <w:r>
              <w:rPr>
                <w:rFonts w:hint="default" w:ascii="Times New Roman" w:hAnsi="Times New Roman" w:eastAsia="仿宋_GB2312" w:cs="Times New Roman"/>
                <w:kern w:val="0"/>
                <w:sz w:val="22"/>
                <w:szCs w:val="22"/>
                <w:lang w:bidi="ar"/>
              </w:rPr>
              <w:t>；</w:t>
            </w:r>
          </w:p>
          <w:p w14:paraId="0A828E2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（二）与原材料或产品直接接触的设备、工装夹具及管道表面应当光洁、平整、无颗粒物质脱落、无毒、耐腐蚀，不与原材料或产品发生化学反应和粘连，易于清洁处理、消毒或灭菌。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F6BFF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84A332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《规范》第三十六条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2.3.1、2.3.5</w:t>
            </w:r>
          </w:p>
        </w:tc>
      </w:tr>
      <w:tr w14:paraId="24E3B7D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2FD7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CD0709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4474E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59DDFA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企业应当建立设备和仪器档案，包括但不限于采购、安装、确认等文件和记录。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902197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55298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《规范》第三十七条</w:t>
            </w:r>
          </w:p>
        </w:tc>
      </w:tr>
      <w:tr w14:paraId="356CC56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33BF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BEA0F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10AF0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F509C4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企业应当建立主要设备和仪器的使用、维护和维修操作规程，保留相关记录，确保相关活动可追溯。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B6CA7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14D1B8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《规范》第三十八条</w:t>
            </w:r>
          </w:p>
        </w:tc>
      </w:tr>
      <w:tr w14:paraId="2C51B8F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D031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C842B8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36C4FF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79601F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企业应当标明主要设备、仪器和工装夹具的编号与名称。出现异常情况时，应当配备异常状态标识，防止非预期使用。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A536F1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EC5F71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《规范》第三十九条</w:t>
            </w:r>
          </w:p>
        </w:tc>
      </w:tr>
      <w:tr w14:paraId="3BC69EA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9524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71C7FC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E35C5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273613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企业应当按照操作规程和校准或者检定计划，定期对主要设备和仪器进行校准或者检定，校准的量程范围应当涵盖实际使用范围。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3D1BB9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63E789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《规范》第四十条</w:t>
            </w:r>
          </w:p>
        </w:tc>
      </w:tr>
      <w:tr w14:paraId="13070EA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630F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8321AC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67D8C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8862DD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企业应当配备适当的计量器具，计量器具的量程和精度应当满足使用要求，并标明校准或者检定有效期。</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60356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9587A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《规范》第四十条</w:t>
            </w:r>
          </w:p>
        </w:tc>
      </w:tr>
      <w:tr w14:paraId="615927C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FCA6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D6EA75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51837E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032C20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企业应当保留校准或者检定记录。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FDDDDB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33157A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《规范》第四十条</w:t>
            </w:r>
          </w:p>
        </w:tc>
      </w:tr>
      <w:tr w14:paraId="40010AE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A9D0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D7F9F6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5EDE3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9D978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企业应当对经过改造或者重大维修的设备和仪器进行再确认，符合要求后方可使用。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F6337B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A38B5E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《规范》第四十一条</w:t>
            </w:r>
          </w:p>
        </w:tc>
      </w:tr>
      <w:tr w14:paraId="7D5B2BE5">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1832912">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第六章</w:t>
            </w:r>
          </w:p>
          <w:p w14:paraId="5FCD593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文件和数据管理</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F95461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40104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BDD6F6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企业应当建立健全质量管理体系文件，包括质量方针和质量目标、质量手册、程序文件、技术文件和记录，以及法规要求的其他文件。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30FE4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7D4D10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《规范》第四十二条</w:t>
            </w:r>
          </w:p>
        </w:tc>
      </w:tr>
      <w:tr w14:paraId="21F5924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D618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5405FE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76EDF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568531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质量手册应当对质量管理体系作出规定。程序文件应当根据产品设计开发、生产和质量管理等活动的实际需要制定，包含本规范所规定的各项程序。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FB0B89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E4D068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《规范》第四十二条</w:t>
            </w:r>
          </w:p>
        </w:tc>
      </w:tr>
      <w:tr w14:paraId="24AFB47C">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FD09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C56495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61DD6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F2B03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技术文件应当包括产品技术要求以及相关标准、生产工艺规程、作业指导书、检验和试验操作规程、安装和服务操作规程等。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C8BD3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8D11CC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《规范》第四十二条</w:t>
            </w:r>
          </w:p>
        </w:tc>
      </w:tr>
      <w:tr w14:paraId="56350688">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BF92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9919A1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5E1819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7895412">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企业应当建立文件控制程序，系统设计、制定、审核、批准、发放和保存质量管理体系文件，并符合下列要求：</w:t>
            </w:r>
          </w:p>
          <w:p w14:paraId="346FF2FA">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（一）文件的起草、修订、审核、批准、替换或者撤销、复制、保管和销毁等应当按照文件控制程序管理，并有相应分发、替换或者撤销、销毁记录；应当根据文件不同用途与类型，明确适宜受控方法；</w:t>
            </w:r>
          </w:p>
          <w:p w14:paraId="59B6F8DA">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（二）修订或者更新文件时，应当经过评审和批准，并确保能够识别文件修订或者更新状态；</w:t>
            </w:r>
          </w:p>
          <w:p w14:paraId="304A78F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（三）分发和使用的文件应当为适宜文本，已撤销或者作废文件应当进行标识，防止误用；</w:t>
            </w:r>
          </w:p>
          <w:p w14:paraId="7433863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（四）明确必要的质量管理体系文件如技术文件等作废后的保存期限，以满足产品维修和产品质量责任追溯等需要。</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C417E2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3586D4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《规范》第四十三条</w:t>
            </w:r>
          </w:p>
        </w:tc>
      </w:tr>
      <w:tr w14:paraId="56493EF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AD0B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0D601B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A30B6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A369BB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企业应当指定部门或者人员负责识别医疗器械相关法律、法规、规范、标准等外部文件变化情况，及时更新质量管理体系文件。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D7DB25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C0E15D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《规范》第四十四条</w:t>
            </w:r>
          </w:p>
        </w:tc>
      </w:tr>
      <w:tr w14:paraId="392F2F2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117A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5451CD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5348F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6DD42A">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企业应当建立记录控制程序，包括记录的标识、保管、检索、保存期限和处置要求等，并符合下列要求：</w:t>
            </w:r>
          </w:p>
          <w:p w14:paraId="56F4BC23">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 xml:space="preserve">（一）记录应当保证产品设计开发、生产、质量控制和产品放行等活动可追溯； </w:t>
            </w:r>
          </w:p>
          <w:p w14:paraId="177A79D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color w:val="auto"/>
                <w:kern w:val="0"/>
                <w:sz w:val="22"/>
                <w:szCs w:val="22"/>
                <w:lang w:bidi="ar"/>
              </w:rPr>
              <w:t>（二）记录应当真实、准确、完整、及时、清晰，易于识别和检索，防止破损和丢失；</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513C61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C57221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《规范》第四十五条</w:t>
            </w:r>
          </w:p>
        </w:tc>
      </w:tr>
      <w:tr w14:paraId="645E6A9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8477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A8E9A4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8C2CE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9F52CCF">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（三）记录不得随意涂改或者销毁，必须更改时，应当注明更改理由、更改人员和日期，原有信息清晰可辨；</w:t>
            </w:r>
          </w:p>
          <w:p w14:paraId="1A9CFA1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（四）记录保存期限至少应当与企业所规定的医疗器械寿命期保持一致或者符合相关法规要求，且自产品放行之日起不少于2年。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CDA8AF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0AC8EB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《规范》第四十五条</w:t>
            </w:r>
          </w:p>
        </w:tc>
      </w:tr>
      <w:tr w14:paraId="0E628196">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43D7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6FFFDE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923BF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B14C03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采用信息化管理方式的，企业应当确保电子记录或者数据真实、准确、完整、及时和可追溯，并符合下列要求：</w:t>
            </w:r>
          </w:p>
          <w:p w14:paraId="4F2202D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（一）建立用户权限管理，确保可能对电子记录或者数据真实准确产生影响的权限得到有效控制；</w:t>
            </w:r>
          </w:p>
          <w:p w14:paraId="08DB60A9">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（二）电子记录或者数据更改、删除应当由经授权的人员操作，保留更改、删除记录；</w:t>
            </w:r>
          </w:p>
          <w:p w14:paraId="6A22F824">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（三）电子记录或者数据应当进行备份，保存期限应当不低于本章定义的记录保存期限，且在保存期内便于查阅；</w:t>
            </w:r>
          </w:p>
          <w:p w14:paraId="4B7840D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（四）采用电子签名的，应当符合相关法律法规要求。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5150C1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CC9C5B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《规范》第四十六条</w:t>
            </w:r>
          </w:p>
        </w:tc>
      </w:tr>
      <w:tr w14:paraId="063DBC93">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63EF828">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第七章</w:t>
            </w:r>
          </w:p>
          <w:p w14:paraId="746D01C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579040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0AC7C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2F6437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8EF7A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23B02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《规范》第四十七条</w:t>
            </w:r>
          </w:p>
        </w:tc>
      </w:tr>
      <w:tr w14:paraId="53B9335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0443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77212D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8929D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F5BCE1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企业应当将风险管理理念贯穿到设计开发至产品实现全过程，制定相关要求并形成文件，使用风险管理方法和工具开展风险管理活动并保留相关记录。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D9D21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71B30B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《规范》第四十八条</w:t>
            </w:r>
          </w:p>
        </w:tc>
      </w:tr>
      <w:tr w14:paraId="2239DBE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993A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DE1C39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6EEBC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0144D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企业应当根据产品特性对设计开发进行策划，明确设计开发输入、输出、转换、验证与确认等阶段需要开展的具体活动。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A0728F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ABD7D8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《规范》第四十九条</w:t>
            </w:r>
          </w:p>
        </w:tc>
      </w:tr>
      <w:tr w14:paraId="3CB61DC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A8F5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73084D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F0329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6B0421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B6CCD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14A13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《规范》第四十九条</w:t>
            </w:r>
          </w:p>
        </w:tc>
      </w:tr>
      <w:tr w14:paraId="224D096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5FDA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4032B6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5D963D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97A8C2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设计开发输入至少应当包括根据用户需求以及预期用途所确定的功能、性能、安全以及法规、标准、风险控制措施等要求。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3A2124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B92B72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《规范》第五十条</w:t>
            </w:r>
          </w:p>
        </w:tc>
      </w:tr>
      <w:tr w14:paraId="0AF46B2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A8AD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5E5A08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48B8BA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61F8B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设计开发输入要求应当清晰、完整，并经过评审和批准。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ACBDF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4A8A8F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《规范》第五十条</w:t>
            </w:r>
          </w:p>
        </w:tc>
      </w:tr>
      <w:tr w14:paraId="561BA9B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211F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2A819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D9501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80ADA4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设计开发输出应当满足各阶段的输入要求。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46E592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BA0C38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《规范》第五十一条</w:t>
            </w:r>
          </w:p>
        </w:tc>
      </w:tr>
      <w:tr w14:paraId="7E5EB164">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4853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A78901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4EE633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35F6CD6">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设计开发输出至少应当包括采购、生产、检验、使用和服务所需的相关信息以及产品技术要求等。设计开发输出应当经过验证并得到批准。</w:t>
            </w:r>
          </w:p>
          <w:p w14:paraId="46B9909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（一）应当选择适宜的方法对产品进行灭菌或采用适宜的无菌加工技术以保证产品无菌，并执行相关法规和标准的要求</w:t>
            </w:r>
            <w:r>
              <w:rPr>
                <w:rFonts w:hint="default" w:ascii="Times New Roman" w:hAnsi="Times New Roman" w:eastAsia="仿宋_GB2312" w:cs="Times New Roman"/>
                <w:kern w:val="0"/>
                <w:sz w:val="22"/>
                <w:szCs w:val="22"/>
                <w:lang w:bidi="ar"/>
              </w:rPr>
              <w:t>；</w:t>
            </w:r>
          </w:p>
          <w:p w14:paraId="2636B2A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（二）应当明确灭菌工艺（方法和参数）和无菌保证水平（SAL）。如灭菌使用的方法容易出现残留</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bidi="ar"/>
              </w:rPr>
              <w:t>应当明确残留物信息及采取的处理方法。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3D6280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A0D1D2F">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《规范》第五十一条</w:t>
            </w:r>
            <w:r>
              <w:rPr>
                <w:rFonts w:hint="default" w:ascii="Times New Roman" w:hAnsi="Times New Roman" w:eastAsia="仿宋_GB2312" w:cs="Times New Roman"/>
                <w:kern w:val="0"/>
                <w:sz w:val="22"/>
                <w:szCs w:val="22"/>
                <w:lang w:bidi="ar"/>
              </w:rPr>
              <w:t>，</w:t>
            </w:r>
          </w:p>
          <w:p w14:paraId="1492BEF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2.6.8、2.4.1、2.4.2</w:t>
            </w:r>
          </w:p>
        </w:tc>
      </w:tr>
      <w:tr w14:paraId="17BC811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4CFA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4D2E4F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82BBE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C7F908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EE8BBF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051B57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《规范》第五十二条</w:t>
            </w:r>
          </w:p>
        </w:tc>
      </w:tr>
      <w:tr w14:paraId="1CBA97A3">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0D08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5A14B3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DD7A8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A09FD45">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企业应当在设计开发的适宜阶段进行评审，持续评价设计开发输出满足输入要求的能力，识别问题并提出必要的改进措施。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A49EB4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FF39D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《规范》第五十三条</w:t>
            </w:r>
          </w:p>
        </w:tc>
      </w:tr>
      <w:tr w14:paraId="6B434F7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C887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108283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8439D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CD49FCC">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企业应当对设计开发进行验证，确保设计开发输出满足输入要求。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92DE9B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5B672B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《规范》第五十四条</w:t>
            </w:r>
          </w:p>
        </w:tc>
      </w:tr>
      <w:tr w14:paraId="351E94A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F705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602402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43292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00B173D">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企业应当保留验证相关文件，至少包括验证方案、验证报告、验证结果和结论以及验证过程记录等。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7E17D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2987E1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《规范》第五十四条</w:t>
            </w:r>
          </w:p>
        </w:tc>
      </w:tr>
      <w:tr w14:paraId="4D294B1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5585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8F245A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04CB8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C8E6C6B">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企业应当对设计开发进行确认，确保产品满足规定使用要求或者预期用途。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D36B6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D2DF24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《规范》第五十五条</w:t>
            </w:r>
          </w:p>
        </w:tc>
      </w:tr>
      <w:tr w14:paraId="7ED46CA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B363E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19020D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75996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447E0F">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设计开发确认可以采用临床评价或者非临床评价方式。开展临床试验的，应当符合医疗器械临床试验相关要求。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53628B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B4FA75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《规范》第五十五条</w:t>
            </w:r>
          </w:p>
        </w:tc>
      </w:tr>
      <w:tr w14:paraId="3DFC1A7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9F0A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992F7F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9B4BBA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9D5BEDF">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企业应当对设计开发变更进行识别并评估变更影响。必要时，应当对设计开发变更进行验证、确认，并在实施前得到批准。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677BF0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6F09D1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《规范》第五十六条</w:t>
            </w:r>
          </w:p>
        </w:tc>
      </w:tr>
      <w:tr w14:paraId="7969E4F9">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6E98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2CA6BE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72537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C919C51">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企业应当建立产品设计开发文档，包括设计开发过程中建立或者引用的记录，确保历次设计开发输出过程以及相关活动可追溯。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7C07EE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20B32D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《规范》第五十七条</w:t>
            </w:r>
          </w:p>
        </w:tc>
      </w:tr>
      <w:tr w14:paraId="09D6241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96C3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F60FC2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2E9E08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1D6BF4">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委托设计开发医疗器械的，委托方应当对受托方研发与持续技术支持能力进行评估。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2E62E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608907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《规范》第五十八条</w:t>
            </w:r>
          </w:p>
        </w:tc>
      </w:tr>
      <w:tr w14:paraId="21AB2D9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D43A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5A2BF3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0F6F81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CBD5F09">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企业应当与受托方签订协议，明确委托设计开发活动范围、责任以及设计开发文档转移要求。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57928B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E16494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《规范》第五十八条</w:t>
            </w:r>
          </w:p>
        </w:tc>
      </w:tr>
      <w:tr w14:paraId="7F21F01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3454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626C20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FA6B5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14C4447">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企业应当对委托设计开发过程和结果进行管理并承担相应责任，确保设计开发过程满足法律法规和协议要求。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8E920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4A7D7C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《规范》第五十八条</w:t>
            </w:r>
          </w:p>
        </w:tc>
      </w:tr>
      <w:tr w14:paraId="44F2FFBA">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F23588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第八章</w:t>
            </w:r>
          </w:p>
          <w:p w14:paraId="2EF56C1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采购与原材料管理</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1FA4AC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67DB2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45029C0">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企业应当建立采购控制程序，确保采购的原材料或者服务符合规定要求，且不低于法律、法规、规章和强制性标准相关要求。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76B53C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FE0222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《规范》第五十九条</w:t>
            </w:r>
          </w:p>
        </w:tc>
      </w:tr>
      <w:tr w14:paraId="2E14DE29">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B543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05BE8D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9DEA8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E231BD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企业应当根据采购原材料或者服务对产品影响程度，对采购原材料或者服务以及供应商进行分类管理。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3100D0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E9AA92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《规范》第六十条</w:t>
            </w:r>
          </w:p>
        </w:tc>
      </w:tr>
      <w:tr w14:paraId="7B660B6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4075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C53FEF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CC7D9C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A5D279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供应商管理应当考虑采购原材料或者服务、生产工艺复杂程度、对产品质量安全影响程度、首次供应或者持续供应等因素。</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541B71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1B61D0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《规范》第六十条</w:t>
            </w:r>
          </w:p>
        </w:tc>
      </w:tr>
      <w:tr w14:paraId="79A5DDA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62EC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206697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E01A9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601BA7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企业应当建立供应商审核制度，明确供应商选择、评价和再评价准则和方法，根据审核评价结果建立合格供应商名单。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1578FD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7A9675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《规范》第六十一条</w:t>
            </w:r>
          </w:p>
        </w:tc>
      </w:tr>
      <w:tr w14:paraId="018536E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99AD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37F039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0193C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34F44F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企业应当结合产品质量风险、原材料用量以及对产品质量影响程度，确定是否对供应商进行现场审核。</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CE021A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2F6B3B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《规范》第六十一条</w:t>
            </w:r>
          </w:p>
        </w:tc>
      </w:tr>
      <w:tr w14:paraId="56AD1E2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68FF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EBE702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3E03EA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6F8818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企业应当对供应商定期进行综合评价，回顾分析其供应原材料或者服务的质量、技术水平、交付能力等。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7B45C9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0C6AF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《规范》第六十二条</w:t>
            </w:r>
          </w:p>
        </w:tc>
      </w:tr>
      <w:tr w14:paraId="28BC292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A3D2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D2E585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A03EEA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42F2F2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经评估认为供应商存在重大缺陷的，企业应当中止采购，及时分析相关缺陷对产品带来的风险，必要时采取相应措施。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767544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573E76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《规范》第六十二条</w:t>
            </w:r>
          </w:p>
        </w:tc>
      </w:tr>
      <w:tr w14:paraId="7335053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E10E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BA383F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DD0F86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DF2288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企业应当与关键供应商签订质量协议，明确采购原材料或者服务的技术要求、验收标准和双方质量责任。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DF50B5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AEDEA8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《规范》第六十三条</w:t>
            </w:r>
          </w:p>
        </w:tc>
      </w:tr>
      <w:tr w14:paraId="6865EC8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F3F9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5D97FB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A4858E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C2EAEA1">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企业应当建立关键供应商质量档案。</w:t>
            </w:r>
          </w:p>
          <w:p w14:paraId="72CA052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档案至少包括：供应商资质证明文件、审核报告、采购合同或者质量协议、采购物品清单、产品技术要求或者质量标准、验收准则，供应商能力或者绩效监测、定期审核、评价和再评价结果以及由其引发的相关措施记录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AF5D4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CCE378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《规范》第六十三条</w:t>
            </w:r>
          </w:p>
        </w:tc>
      </w:tr>
      <w:tr w14:paraId="2F2AB1E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2A4F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C0FAAD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BD16D4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71FDD9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企业应当明确采购信息和采购要求，包括采购原材料或者服务的类别、验收准则、规格型号、规程、图样等内容。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87AD44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395B84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《规范》第六十四条</w:t>
            </w:r>
          </w:p>
        </w:tc>
      </w:tr>
      <w:tr w14:paraId="7C98A0D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8D28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9FF984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C06C9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EB1CDD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企业应当保留采购记录，包括采购合同、采购清单、检验报告等，采购记录应当真实、准确、完整和可追溯。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F008C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86CFF7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《规范》第六十四条</w:t>
            </w:r>
          </w:p>
        </w:tc>
      </w:tr>
      <w:tr w14:paraId="5691CB1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67FF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D7FB9C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FB2A8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6E201C">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企业应当建立原材料进货验收制度，对采购的原材料进行检查、检验或者验证，确保满足要求后方可入库。</w:t>
            </w:r>
          </w:p>
          <w:p w14:paraId="299F5AFE">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（一）需要进行生物学评价的材料，采购的原材料应当与经生物学评价的材料相同</w:t>
            </w:r>
            <w:r>
              <w:rPr>
                <w:rFonts w:hint="default" w:ascii="Times New Roman" w:hAnsi="Times New Roman" w:eastAsia="仿宋_GB2312" w:cs="Times New Roman"/>
                <w:kern w:val="0"/>
                <w:sz w:val="22"/>
                <w:szCs w:val="22"/>
                <w:lang w:bidi="ar"/>
              </w:rPr>
              <w:t>；</w:t>
            </w:r>
          </w:p>
          <w:p w14:paraId="7323967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（二）对来源于动物的原材料应当满足产品质量控制要求。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AEF3A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E6FAA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《规范》第六十五条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2.5.1、 2.5.2</w:t>
            </w:r>
          </w:p>
        </w:tc>
      </w:tr>
      <w:tr w14:paraId="0D733EA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DF43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CB0B1C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16A064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A99C1F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验收取样应当遵循抽样规则并在相应环境下进行。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4FE79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1119AA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《规范》第六十五条</w:t>
            </w:r>
          </w:p>
        </w:tc>
      </w:tr>
      <w:tr w14:paraId="2E0D23D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C1B8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9FADFD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0F9A97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EDBC74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无菌医疗器械的初包装材料应当适用于所用的灭菌过程或无菌加工的包装要求，并执行相应法规和标准的规定，确保在包装、运输、贮存和使用时不会对产品造成污染。应当根据产品质量要求确定所采购初包装材料的初始污染菌和微粒污染可接受水平并形成文件，按照文件要求对采购的初包装材料进行进货检验并保持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B7BC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37AAF7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2.5.3</w:t>
            </w:r>
          </w:p>
        </w:tc>
      </w:tr>
      <w:tr w14:paraId="5099ED3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520E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E84998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C4823F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5A9524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仓储管理制度，确保原材料、中间产品以及成品等能够正确贮存、发放、使用和运输，防止污染、交叉污染、混淆和差错。应当控制和记录贮存条件，贮存条件应当在标签或使用说明书中注明。相关活动应当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1B6F86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DBF71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《规范》第六十六条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2.6.12</w:t>
            </w:r>
          </w:p>
        </w:tc>
      </w:tr>
      <w:tr w14:paraId="6140D64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15AA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95EDA5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ECCF1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83BEEF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原材料的发放和使用一般应当遵循先进先出原则。</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BFE964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DA9BD4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《规范》第六十七条</w:t>
            </w:r>
          </w:p>
        </w:tc>
      </w:tr>
      <w:tr w14:paraId="16AD5E49">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C5C3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5B2B38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75028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873127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超过贮存期的原材料应当进行复验，经评估符合规定后方可使用。超过有效期的原材料，应当按照不合格品处理。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52F447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BECAF2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《规范》第六十七条</w:t>
            </w:r>
          </w:p>
        </w:tc>
      </w:tr>
      <w:tr w14:paraId="571BADE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65A1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16660F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39E26C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7EADCA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企业应当要求供应商提前告知关键原材料生产条件、规格型号、图样、生产工艺、质量标准和检验方法等发生的变更。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67A825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2ABC31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《规范》第六十八条</w:t>
            </w:r>
          </w:p>
        </w:tc>
      </w:tr>
      <w:tr w14:paraId="4B8FC7E3">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21A6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55C094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CF7D6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3BA23C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企业应当评估变更对产品质量影响的范围和程度，必要时采取措施并对供应商进行现场审核。</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57C853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79DD1D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《规范》第六十八条</w:t>
            </w:r>
          </w:p>
        </w:tc>
      </w:tr>
      <w:tr w14:paraId="201535DF">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DD1C9E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第九章</w:t>
            </w:r>
          </w:p>
          <w:p w14:paraId="087FCA4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验证与确认</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C41F8F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8B0BC3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2F218D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企业应当基于风险评估确定验证或者确认的范围和程度，以证明相关设施设备、操作以及产品实现过程中的关键要素得到有效控制。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DDAF4E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B6002F5">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《规范》第六十九条</w:t>
            </w:r>
            <w:r>
              <w:rPr>
                <w:rFonts w:hint="default" w:ascii="Times New Roman" w:hAnsi="Times New Roman" w:eastAsia="仿宋_GB2312" w:cs="Times New Roman"/>
                <w:kern w:val="0"/>
                <w:sz w:val="22"/>
                <w:szCs w:val="22"/>
                <w:lang w:bidi="ar"/>
              </w:rPr>
              <w:t>，</w:t>
            </w:r>
          </w:p>
          <w:p w14:paraId="0C61771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2.6.9</w:t>
            </w:r>
          </w:p>
        </w:tc>
      </w:tr>
      <w:tr w14:paraId="4A1E820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AB1A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8F844E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00A540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C2266B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DEA34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85B556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《规范》第七十条</w:t>
            </w:r>
          </w:p>
        </w:tc>
      </w:tr>
      <w:tr w14:paraId="6070ABB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D5B9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98802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61A69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72AA4D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372151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8C796D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《规范》第七十一条</w:t>
            </w:r>
          </w:p>
        </w:tc>
      </w:tr>
      <w:tr w14:paraId="40DE320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9871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824D86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B81C0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11DB23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工艺验证或者确认应当证明生产过程按照规定的工艺参数能够持续生产出符合强制性标准、产品技术要求和预期用途的产品。</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4DA7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FB0528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《规范》第七十二条</w:t>
            </w:r>
          </w:p>
        </w:tc>
      </w:tr>
      <w:tr w14:paraId="3ECDACC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4FAA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65C7B5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1E428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BA9A58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特殊过程应当经过确认，关键工序应当经过验证。无菌加工或灭菌过程应当按照相关标准要求在初次实施前进行确认，并形成确认报告、保留确认记录，必要时应当再确认。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FB3C07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1A94A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《规范》第七十二条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2.6.9</w:t>
            </w:r>
          </w:p>
        </w:tc>
      </w:tr>
      <w:tr w14:paraId="082E67A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BDCC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4ED4D4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B48F8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9C544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企业应当结合产品特性、工艺特点以及设备设施使用情况等对清洁方法实施验证，证实其清洁效果，有效防止污染和交叉污染。</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1FDEF5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2A208D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《规范》第七十三条</w:t>
            </w:r>
          </w:p>
        </w:tc>
      </w:tr>
      <w:tr w14:paraId="2822CFD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D9FB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D3E33A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0764F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6388A1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2F7DE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BB6A3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《规范》第七十四条</w:t>
            </w:r>
          </w:p>
        </w:tc>
      </w:tr>
      <w:tr w14:paraId="2EA65F3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7CD4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A3B3AC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95CA5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78C5A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首次验证或者确认后，企业应当根据产品质量回顾分析情况对生产工艺、设备设施等进行再验证或者再确认，确保其能够达到预期结果。</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33EA4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0DF53B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《规范》第七十五条</w:t>
            </w:r>
          </w:p>
        </w:tc>
      </w:tr>
      <w:tr w14:paraId="44EACFF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8AA2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BA34C8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E1807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AEF439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使用历史数据开展回顾性验证或者确认的，企业应当确保所使用数据适当且充分。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3BE9B9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F9525A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《规范》第七十五条</w:t>
            </w:r>
          </w:p>
        </w:tc>
      </w:tr>
      <w:tr w14:paraId="0687C983">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DE19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5AD1A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CEF68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8F158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112CFD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E9645C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《规范》第七十六条</w:t>
            </w:r>
          </w:p>
        </w:tc>
      </w:tr>
      <w:tr w14:paraId="0B0B717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6BCB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576B76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7D9DD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ADBC3A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企业应当按照方案实施验证或者确认，形成报告并保留相关记录。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18034D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5F0457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《规范》第七十六条</w:t>
            </w:r>
          </w:p>
        </w:tc>
      </w:tr>
      <w:tr w14:paraId="0AF5C9D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04C4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1C4009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BDB46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C2B5F3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6C66D1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3DD291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《规范》第七十七条</w:t>
            </w:r>
          </w:p>
        </w:tc>
      </w:tr>
      <w:tr w14:paraId="534B4067">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3CE10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第十章生产管理</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3C0EBA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3EA24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66C0D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63C13D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B5EB65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《规范》第七十八条</w:t>
            </w:r>
          </w:p>
        </w:tc>
      </w:tr>
      <w:tr w14:paraId="63D19F89">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C835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E80A3E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6A892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E90565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洁净室（区）的卫生管理文件，按照规定对洁净室（区）进行清洁处理和消毒，并保存记录。所用的消毒剂或消毒方法不得对设备、工装夹具、原材料和产品造成污染。消毒剂品种应当定期更换，防止产生耐药菌株。</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EBF3E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38A9FC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2.6.2</w:t>
            </w:r>
          </w:p>
        </w:tc>
      </w:tr>
      <w:tr w14:paraId="2B50571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4638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B1EBB7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935E1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55F70D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对人员的清洁要求，制定洁净室（区）工作人员卫生守则。人员进入洁净室（区）应当按照程序进行净化，并穿戴工作帽、口罩、洁净工作服、工作鞋。裸手接触产品的操作人员每隔一定时间应当对手再次进行消毒。裸手消毒剂的种类应当定期更换。</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A61CAD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535F22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2.1.2</w:t>
            </w:r>
          </w:p>
        </w:tc>
      </w:tr>
      <w:tr w14:paraId="6441C31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2352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87E4B9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EB864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8D3D59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明确人员服装要求，制定洁净和无菌工作服的管理规定。工作服及其质量应当与生产操作的要求及操作区的洁净度级别相适应，其式样和穿着方式应当能够满足保护产品和人员的要求。洁净工作服和无菌工作服不得脱落纤维和颗粒性物质，无菌工作服应当能够包盖全部头发、胡须及脚部，并能阻留人体脱落物。</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96629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C70A82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2.1.4</w:t>
            </w:r>
          </w:p>
        </w:tc>
      </w:tr>
      <w:tr w14:paraId="14FF1F5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5F51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FDDF0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769AA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9688F75">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企业应当在生产过程中对原材料、中间产品等进行有效管控。</w:t>
            </w:r>
          </w:p>
          <w:p w14:paraId="3E3364EA">
            <w:pPr>
              <w:widowControl/>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（一）进入洁净室（区）的原材料和物品必须按程序进行净化处理</w:t>
            </w:r>
            <w:r>
              <w:rPr>
                <w:rFonts w:hint="default" w:ascii="Times New Roman" w:hAnsi="Times New Roman" w:eastAsia="仿宋_GB2312" w:cs="Times New Roman"/>
                <w:kern w:val="0"/>
                <w:sz w:val="22"/>
                <w:szCs w:val="22"/>
                <w:lang w:bidi="ar"/>
              </w:rPr>
              <w:t>；</w:t>
            </w:r>
          </w:p>
          <w:p w14:paraId="2085F62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（二）需要清洁处理的，应明确清洁方法和要求，对清洁效果进行验证，末道清洁处理应当在相应级别的洁净室（区）内进行，末道清洁处理介质应当满足产品质量的要求。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2C1635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BCE889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《规范》第七十九条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2.6.5</w:t>
            </w:r>
          </w:p>
        </w:tc>
      </w:tr>
      <w:tr w14:paraId="2A4528A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FEE7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2218B2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04873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9FFBDC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企业应当根据产品质量要求确定产品的初始污染菌和微粒污染的控制水平并形成文件，明确中间产品的存储环境要求和存放时间。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DC282A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96EDB6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2.7.4</w:t>
            </w:r>
          </w:p>
        </w:tc>
      </w:tr>
      <w:tr w14:paraId="797D076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A743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337C78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C347C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E261E8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工位器具的管理文件，所选用的工位器具应当能避免产品在存放和搬运中被污染和损坏。生产设备所用的润滑剂、冷却剂、清洗剂及在洁净室（区）内通过模具成型后不需清洁处理的零配件所用的脱模剂，均不得对产品造成污染。</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582C44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4803A5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2.6.4、2.6.3</w:t>
            </w:r>
          </w:p>
        </w:tc>
      </w:tr>
      <w:tr w14:paraId="42B994F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DE85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36071B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F9B52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15674C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企业应当根据产品和生产工艺特点对环境进行监测和控制，并保留记录。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ED025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95325A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《规范》第八十条</w:t>
            </w:r>
          </w:p>
        </w:tc>
      </w:tr>
      <w:tr w14:paraId="249B6243">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A045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F50F4E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B9A4F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D19765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企业应当建立批号管理规定，明确生产批号和灭菌批号的关系，每批（台）产品均应当有生产记录，并满足追溯要求。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677F4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D95C06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《规范》第八十一条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2.6.7</w:t>
            </w:r>
          </w:p>
        </w:tc>
      </w:tr>
      <w:tr w14:paraId="5DC822F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8DCF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517FF3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D2A9F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8762F2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记录至少包括产品名称、规格型号、生产批号或者产品编号（医疗器械唯一标识）、生产日期、数量、关键原材料编号/批号/序列号、中间产品批号、主要设备、工艺参数、操作人员等内容，并体现物料平衡或者记录关键原材料使用情况。</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C7CB9E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3DEA15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《规范》第八十一条</w:t>
            </w:r>
          </w:p>
        </w:tc>
      </w:tr>
      <w:tr w14:paraId="22FD4EF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3143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613C8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EBA3ED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2A97BB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企业应当制定灭菌过程控制文件，保持每一灭菌批的灭菌过程参数记录，灭菌记录应当可追溯到产品的每一生产批。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3D9A1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00324F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2.6.10</w:t>
            </w:r>
          </w:p>
        </w:tc>
      </w:tr>
      <w:tr w14:paraId="799A6FE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C3C9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D8D25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ED53AD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6370A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对直接或间接接触心血管系统、淋巴系统或脑脊髓液或药液的零配件应当至少能追溯到产品生产所用的原材料、灭菌设备和生产环境。</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10B1F1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641819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2.6.11</w:t>
            </w:r>
          </w:p>
        </w:tc>
      </w:tr>
      <w:tr w14:paraId="35AF06D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5EA9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2760CE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8A836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E99F27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企业应当根据产品特性检查实际产量和关键原材料实际用量间的物料平衡，确保符合设定限度要求。如有偏差，企业应当查明原因，确认无潜在质量风险后，方可按照正常产品处理。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4945EC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1F45BE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《规范》第八十二条</w:t>
            </w:r>
          </w:p>
        </w:tc>
      </w:tr>
      <w:tr w14:paraId="73E595B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3323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2788F5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5460E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08BD67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企业应当建立产品标识控制程序，采用适宜方法对产品进行标识，防止混淆、差错以及不合格中间产品流入下道工序。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E98A5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9DDD56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《规范》第八十三条</w:t>
            </w:r>
          </w:p>
        </w:tc>
      </w:tr>
      <w:tr w14:paraId="0D1F0D8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5A18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B1FCB1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DE25D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F25363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产品说明书、标签应当符合相关法律、法规、规章以及标准要求并进行有效管控。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783832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8FB599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《规范》第八十四条</w:t>
            </w:r>
          </w:p>
        </w:tc>
      </w:tr>
      <w:tr w14:paraId="0FCCFCB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F117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6D3727B">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21FE744">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49220C3">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企业应当建立产品防护程序，规定产品及其组成部分的防护要求，包括污染防护、静电防护、粉尘防护、腐蚀防护、射线防护</w:t>
            </w:r>
            <w:r>
              <w:rPr>
                <w:rFonts w:ascii="Times New Roman" w:hAnsi="Times New Roman" w:eastAsia="仿宋_GB2312" w:cs="Times New Roman"/>
                <w:b/>
                <w:bCs/>
                <w:kern w:val="0"/>
                <w:sz w:val="22"/>
                <w:szCs w:val="22"/>
                <w:lang w:bidi="ar"/>
              </w:rPr>
              <w:t>、</w:t>
            </w:r>
            <w:r>
              <w:rPr>
                <w:rFonts w:ascii="Times New Roman" w:hAnsi="Times New Roman" w:eastAsia="仿宋_GB2312" w:cs="Times New Roman"/>
                <w:kern w:val="0"/>
                <w:sz w:val="22"/>
                <w:szCs w:val="22"/>
                <w:lang w:bidi="ar"/>
              </w:rPr>
              <w:t>运输防护和网络安全防护等。防护措施包括但不限于包装、标识、防护罩以及特殊的搬运和贮存要求等。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382FA2E">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FFA614B">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《规范》第八十五条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2.6.1</w:t>
            </w:r>
          </w:p>
        </w:tc>
      </w:tr>
      <w:tr w14:paraId="65040C6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5EE2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D856D6C">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6B94151">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EBE1596">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企业应当结合产品特性和生产实际建立清场管理制度，防止生产涉及的原材料、中间产品和成品污染与混用、相关文件差错使用。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624CF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CF7ECF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《规范》第八十六条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2.6.6</w:t>
            </w:r>
          </w:p>
        </w:tc>
      </w:tr>
      <w:tr w14:paraId="0C850CA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0B22B">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95F056B">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DF3C3F">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FA0440D">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生产开始前，企业应当对前次清场情况进行确认。清场记录和确认应当纳入批生产记录。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070BD8">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7486D8">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《规范》第八十六条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2.6.6</w:t>
            </w:r>
          </w:p>
        </w:tc>
      </w:tr>
      <w:tr w14:paraId="64D9844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20FF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1AC5F2F">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716673">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8BA6D24">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C07D74">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097513B">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《规范》第八十七条</w:t>
            </w:r>
          </w:p>
        </w:tc>
      </w:tr>
      <w:tr w14:paraId="2CAB922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58AA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6A2E41D">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B24AD5">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7DE774E">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企业应当建立不合格品控制程序，对生产过程中的不合格原材料、中间产品和成品等进行及时有效的标识、记录、隔离并开展评审。</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6B74386">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8FD1A7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《规范》第八十八条</w:t>
            </w:r>
          </w:p>
        </w:tc>
      </w:tr>
      <w:tr w14:paraId="3BBE8B3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642D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570660D">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E3564F">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23F032B">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返工和降级使用应当符合相关法规规定以及顾客要求。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90739A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96DB99">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《规范》第八十八条</w:t>
            </w:r>
          </w:p>
        </w:tc>
      </w:tr>
      <w:tr w14:paraId="242F979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FF65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6710CEC">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6F6A2C">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CE35B1">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不合格品进行返工的，企业应当建立返工控制程序，包括作业指导书、重新检验和重新验证要求等。应当对返工带来的风险进行评估。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C6B215">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9639BD6">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《规范》第八十九条</w:t>
            </w:r>
          </w:p>
        </w:tc>
      </w:tr>
      <w:tr w14:paraId="52C1D1E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F8BC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4762B6">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BCECDF">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4AFE278">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企业应当建立产品追溯程序，规定产品追溯范围、程度、标识和必要的记录，包括原材料编号、批号或者序列号管理、医疗器械唯一标识等。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05B728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3674CB0">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《规范》第九十条</w:t>
            </w:r>
          </w:p>
        </w:tc>
      </w:tr>
      <w:tr w14:paraId="73B59DD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D3B9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DE050D">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D3CC0C">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7D3512C">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企业应当按照国家实施医疗器械唯一标识有关要求开展赋码、数据上传和维护更新，保证信息真实、准确、完整和可追溯。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996E8D">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712E601">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《规范》第九十一条</w:t>
            </w:r>
          </w:p>
        </w:tc>
      </w:tr>
      <w:tr w14:paraId="0DA0F58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B0EC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586D44D">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ED6C9B">
            <w:pPr>
              <w:widowControl/>
              <w:spacing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BF8CECC">
            <w:pPr>
              <w:widowControl/>
              <w:spacing w:line="30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共用生产车间、生产线或者生产设备的，企业应当基于产品质量风险管理原则，建立相应管理制度，防止可能产生的原材料、中间产品或者成品混淆、交叉污染、工艺参数误用等风险。</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C8D34AF">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A3942DA">
            <w:pPr>
              <w:widowControl/>
              <w:spacing w:line="30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《规范》第九十二条</w:t>
            </w:r>
          </w:p>
        </w:tc>
      </w:tr>
      <w:tr w14:paraId="164BD90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CCCB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973942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AC5CB1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0BD85A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开展连续生产的，企业应当规定最大批次数量或者最长生产时间，并验证连续生产对环境和设备等的影响。</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EAF858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532B1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《规范》第九十三条</w:t>
            </w:r>
          </w:p>
        </w:tc>
      </w:tr>
      <w:tr w14:paraId="552D001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C159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6B6162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AB397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4D9F6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达到最大批次数量或者最长生产时间后，企业应当进行相应的清洁、维护。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15DA05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069980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《规范》第九十三条</w:t>
            </w:r>
          </w:p>
        </w:tc>
      </w:tr>
      <w:tr w14:paraId="16BB6EE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15137">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0926C0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CEF33E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69C553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停产后重新生产的，企业应当制定相应规程，明确对生产环境、生产设备、供应商、工艺用水、工艺用气和空调净化系统等的评估要求，必要时开展验证或者确认。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F5EE9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C01E46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《规范》第九十四条</w:t>
            </w:r>
          </w:p>
        </w:tc>
      </w:tr>
      <w:tr w14:paraId="5E70EA0A">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BFC9C32">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第十一章</w:t>
            </w:r>
          </w:p>
          <w:p w14:paraId="534DDD3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质量控制与产品放行</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18183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6A39AD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DA5937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应当具备无菌、微生物限度和阳性对照的检测能力和条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AB137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ADE51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《规范》第九十五条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2.7.1</w:t>
            </w:r>
          </w:p>
        </w:tc>
      </w:tr>
      <w:tr w14:paraId="3D34C1B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0F56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A5D726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592F3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302D22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检验人员教育背景、技术能力和数量应当与产品检验检测工作相匹配，经过与所从事检验检测操作相关的实践培训并考核合格后上岗。</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93C075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91325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《规范》第九十六条</w:t>
            </w:r>
          </w:p>
        </w:tc>
      </w:tr>
      <w:tr w14:paraId="260241D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4EEE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C333AA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E136D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C9193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企业应当依据法律、法规、规章、强制性标准以及经注册的产品技术要求，基于风险管理原则和产品质量保证能力等，制定进货检验规程、过程检验规程和成品检验规程等文件。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EFCAA9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0CC8F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《规范》第九十七条</w:t>
            </w:r>
          </w:p>
        </w:tc>
      </w:tr>
      <w:tr w14:paraId="14DF055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8F55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69D4BE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8DF5B5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0A24FE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检验规程应当覆盖产品技术要求载明的性能指标，不能覆盖的应当予以说明，必要时给出经确认的替代解决方案。</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25D62E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DAEE4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《规范》第九十七条</w:t>
            </w:r>
          </w:p>
        </w:tc>
      </w:tr>
      <w:tr w14:paraId="415B198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E9FD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EB57B4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2C5764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BFB80E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企业应当按要求检测产品初始污染菌和微粒并保持相关记录，应当定期对检测记录进行汇总和趋势分析。</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1300FF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361DCD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2.7.4</w:t>
            </w:r>
          </w:p>
        </w:tc>
      </w:tr>
      <w:tr w14:paraId="41F9F05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2BF5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D6E23A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14B60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2D8E0B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检验方法应当与产品的性能指标相适应。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2D650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D16E26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《规范》第九十八条</w:t>
            </w:r>
          </w:p>
        </w:tc>
      </w:tr>
      <w:tr w14:paraId="04FCD16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279C8">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609CA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4E4D8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4A7BE6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对检验工作所需的标准品（参考品）、菌种、培养基以及其他辅助用品，企业应当根据其控制特点制定管理文件，确保满足检验要求。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2F9405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9D1FD6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《规范》第九十八条</w:t>
            </w:r>
          </w:p>
        </w:tc>
      </w:tr>
      <w:tr w14:paraId="721AAE9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A706A">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370BE4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43882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BCFF9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企业应当建立检验样品管理规程，明确取样方法、取样量、标识、存放条件等要求，确保取样、分发、接收、存放、返回或者报废等过程受控。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07D62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59C7CB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《规范》第九十九条</w:t>
            </w:r>
          </w:p>
        </w:tc>
      </w:tr>
      <w:tr w14:paraId="08DEC31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DAEC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39468F8">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520912">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66F2B25">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企业应当按照检验规程开展检验检测活动。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F67587">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1E4B00A">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《规范》第一百条</w:t>
            </w:r>
          </w:p>
        </w:tc>
      </w:tr>
      <w:tr w14:paraId="7CE9424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7DAD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4F58ED">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ADE28F">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A52D20F">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每批（台）产品均应当有检验记录，并满足追溯要求。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95C2958">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3196388">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《规范》第一百条</w:t>
            </w:r>
          </w:p>
        </w:tc>
      </w:tr>
      <w:tr w14:paraId="65FAF05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80F4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95D4F42">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37FEDA2">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78651A1">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F6B2E1E">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FC591E5">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《规范》第一百条</w:t>
            </w:r>
          </w:p>
        </w:tc>
      </w:tr>
      <w:tr w14:paraId="59A86EEE">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743A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14A01EC">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031B37">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DBB02D8">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检验设备管理至少包括下列内容：</w:t>
            </w:r>
          </w:p>
          <w:p w14:paraId="5EAAB74A">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（一）检验设备经过校准或者检定，结果经过确认；</w:t>
            </w:r>
          </w:p>
          <w:p w14:paraId="4F1BCEFD">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（二）明确检验设备搬运、储存、维护和维修等要求；</w:t>
            </w:r>
          </w:p>
          <w:p w14:paraId="6B9172FC">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（三）检验设备不符合要求时，应当立即停止使用，并对以往检验结果进行评价。必要时，采取相应措施并保留记录。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90371BD">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A652C33">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《规范》第一百零一条</w:t>
            </w:r>
          </w:p>
        </w:tc>
      </w:tr>
      <w:tr w14:paraId="3DE0220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2F1E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58A2C9E">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7C8AB7">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39629CE">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企业应当结合产品检验要求对检验环境进行规定、监测和控制，并保留记录。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197AF68">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C1BD4A">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《规范》第一百零二条</w:t>
            </w:r>
          </w:p>
        </w:tc>
      </w:tr>
      <w:tr w14:paraId="1A44250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8738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438299">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D21CD02">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1CC84E9">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开展特殊专业检验的实验室，环境设施条件应当符合特定专业要求。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811CB2">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DD4B01C">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《规范》第一百零二条</w:t>
            </w:r>
          </w:p>
        </w:tc>
      </w:tr>
      <w:tr w14:paraId="0793BE3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18F5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EB2F94">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E289F2">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9BA0002">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企业应当根据产品特性制定检验结果不合格调查处理规程。</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F41B316">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5A0D9C1">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《规范》第一百零三条</w:t>
            </w:r>
          </w:p>
        </w:tc>
      </w:tr>
      <w:tr w14:paraId="4C01AE4D">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5188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FE78CC5">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012A73B">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8006AEE">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任何检验不合格均应当进行调查处理，并保留记录。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ED7BAB">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5DDAC24">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《规范》第一百零三条</w:t>
            </w:r>
          </w:p>
        </w:tc>
      </w:tr>
      <w:tr w14:paraId="3FEB254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23D1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70AD6C0">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0C2464D">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6D2681C">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对检验过程偏差造成的不合格，可以进行复检。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FE29892">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FFBD898">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《规范》第一百零三条</w:t>
            </w:r>
          </w:p>
        </w:tc>
      </w:tr>
      <w:tr w14:paraId="4F088735">
        <w:tblPrEx>
          <w:tblCellMar>
            <w:top w:w="0" w:type="dxa"/>
            <w:left w:w="108" w:type="dxa"/>
            <w:bottom w:w="0" w:type="dxa"/>
            <w:right w:w="108" w:type="dxa"/>
          </w:tblCellMar>
        </w:tblPrEx>
        <w:trPr>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2702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BE3A1FD">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5FDC4F">
            <w:pPr>
              <w:widowControl/>
              <w:spacing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DBF8B60">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企业应当建立产品放行工作程序，明确产品放行条件、审核和批准要求等，确认产品至少符合下列条件后，经授权的放行人员按照规定签发产品放行单：</w:t>
            </w:r>
          </w:p>
          <w:p w14:paraId="124F37A1">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（一）完成所有规定的工艺流程；</w:t>
            </w:r>
          </w:p>
          <w:p w14:paraId="27D1D982">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（二）批生产记录完整齐全；</w:t>
            </w:r>
          </w:p>
          <w:p w14:paraId="58FFA8E8">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（三）质量控制记录完整齐全，结果符合规定要求，已按照规定签发记录；</w:t>
            </w:r>
          </w:p>
          <w:p w14:paraId="2A70920D">
            <w:pPr>
              <w:widowControl/>
              <w:spacing w:line="308" w:lineRule="exact"/>
              <w:jc w:val="both"/>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（四）产品生产过程中出现的不合格、返工、返修、降级使用、紧急放行等特殊情况已经按照规定处理完毕；</w:t>
            </w:r>
          </w:p>
          <w:p w14:paraId="1A78A5D9">
            <w:pPr>
              <w:widowControl/>
              <w:spacing w:line="308"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（五）产品说明书、标签及其版本、医疗器械唯一标识赋码符合规定要求。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ADE9BA8">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52903E5">
            <w:pPr>
              <w:widowControl/>
              <w:spacing w:line="308"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《规范》第一百零四条</w:t>
            </w:r>
          </w:p>
        </w:tc>
      </w:tr>
      <w:tr w14:paraId="6DFD6695">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8DC8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E25C0A7">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1E16FE">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622DD14">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完成放行的产品应当附有合格证明文件，合格证明文件可以是产品检验报告、放行单、合格标识或者合格证等。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3F96655">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4ADF892">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《规范》第一百零四条</w:t>
            </w:r>
          </w:p>
        </w:tc>
      </w:tr>
      <w:tr w14:paraId="1E9277D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8740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0278EA6">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B0E1FC2">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11.10.3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073D04B">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委托生产的，产品放行包括生产放行和上市放行。医疗器械注册人、备案人负责上市放行，受托生产企业负责生产放行。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5F6B12">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C5C81E5">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《规范》第一百零四条</w:t>
            </w:r>
          </w:p>
        </w:tc>
      </w:tr>
      <w:tr w14:paraId="736132B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B97A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7EBC709">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D3EC453">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9A6CE9C">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企业应当根据产品和工艺特点制定留样管理规程，根据产品留样目的确定留样数量和留样方式，按照生产批或灭菌批等进行留样，并保存留样观察记录或留样检验记录。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5B3834D">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11D106">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《规范》第一百零五条</w:t>
            </w:r>
            <w:r>
              <w:rPr>
                <w:rFonts w:hint="default" w:ascii="Times New Roman" w:hAnsi="Times New Roman" w:eastAsia="仿宋_GB2312" w:cs="Times New Roman"/>
                <w:kern w:val="0"/>
                <w:sz w:val="22"/>
                <w:szCs w:val="22"/>
                <w:lang w:bidi="ar"/>
              </w:rPr>
              <w:t>，</w:t>
            </w:r>
            <w:r>
              <w:rPr>
                <w:rFonts w:ascii="Times New Roman" w:hAnsi="Times New Roman" w:eastAsia="仿宋_GB2312" w:cs="Times New Roman"/>
                <w:kern w:val="0"/>
                <w:sz w:val="22"/>
                <w:szCs w:val="22"/>
                <w:lang w:val="en" w:bidi="ar"/>
              </w:rPr>
              <w:t>《无菌附录》</w:t>
            </w:r>
            <w:r>
              <w:rPr>
                <w:rFonts w:ascii="Times New Roman" w:hAnsi="Times New Roman" w:eastAsia="仿宋_GB2312" w:cs="Times New Roman"/>
                <w:kern w:val="0"/>
                <w:sz w:val="22"/>
                <w:szCs w:val="22"/>
                <w:lang w:bidi="ar"/>
              </w:rPr>
              <w:t>2.7.5</w:t>
            </w:r>
          </w:p>
        </w:tc>
      </w:tr>
      <w:tr w14:paraId="04FD006A">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FC39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CA2B41E">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CCE8FD">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A84BF3A">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需要常规控制的进货检验、过程检验和成品检验项目一般不得进行委托检验。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5185F43">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197D4AE">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6E0FD13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29EF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5DD85F4">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D12790">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268396A">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对于检验条件和设备要求较高，确需委托检验的项目，可以委托具有资质的机构进行检验。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31FCE8C">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F942D93">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05A44EE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9B91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73A4A7">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F261B54">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237327D">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委托检验的，企业应当与受托检验机构签订质量协议，明确规定双方责任和委托检验要求。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C65E9AA">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678A5F">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2361D87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FA11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8FDBD8E">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1FCEBD">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412FC0">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委托方应当对受托检验机构的检验能力开展评价，并对委托检验结果进行确认。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36B3C6">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2B22EB6">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《规范》第一百零六条</w:t>
            </w:r>
          </w:p>
        </w:tc>
      </w:tr>
      <w:tr w14:paraId="45397D16">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33688211">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第十二章</w:t>
            </w:r>
          </w:p>
          <w:p w14:paraId="71BC260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委托生产与外协加工</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4ABD1A3">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A74893C">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33C4660">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委托生产医疗器械的，委托方质量管理体系应当覆盖医疗器械全生命周期。受托生产企业质量管理体系应当包括与受托生产活动相关内容。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567144D">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717933E">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《规范》第一百零七条</w:t>
            </w:r>
          </w:p>
        </w:tc>
      </w:tr>
      <w:tr w14:paraId="6C4D312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08B2E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4804773">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7E84212">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B046D5B">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委托双方应当建立有效沟通机制，确保质量管理体系有效衔接与运行。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1BC6B83">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143F259">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《规范》第一百零七条</w:t>
            </w:r>
          </w:p>
        </w:tc>
      </w:tr>
      <w:tr w14:paraId="4CC1C420">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38A4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8C4F809">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1E835F">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B81483">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委托方与受托方应当签订质量协议，明确双方在产品生产全过程中各自的权利、义务和责任。委托方不得通过协议转移依法应当由其履行的义务和责任。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6712F0">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7301B5">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《规范》第一百零八条</w:t>
            </w:r>
          </w:p>
        </w:tc>
      </w:tr>
      <w:tr w14:paraId="58D0AD7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4EDC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340D6AE">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8457A95">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7FA01C0">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C02F758">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A5AA254">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《规范》第一百零九条</w:t>
            </w:r>
          </w:p>
        </w:tc>
      </w:tr>
      <w:tr w14:paraId="5590AE7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D349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70D6B4A">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4D2C2E">
            <w:pPr>
              <w:widowControl/>
              <w:spacing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7624BD3">
            <w:pPr>
              <w:widowControl/>
              <w:spacing w:line="320" w:lineRule="exact"/>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受托方应当接受委托方的审核和监督，并及时采取纠正预防措施落实其整改要求。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C7948E5">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8D173EE">
            <w:pPr>
              <w:widowControl/>
              <w:spacing w:line="320" w:lineRule="exact"/>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《规范》第一百零九条</w:t>
            </w:r>
          </w:p>
        </w:tc>
      </w:tr>
      <w:tr w14:paraId="137B0B8F">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99B9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04C4BD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0170C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BC260B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B45317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21F0AD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《规范》第一百一十条</w:t>
            </w:r>
          </w:p>
        </w:tc>
      </w:tr>
      <w:tr w14:paraId="7BB5B796">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4615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56EA30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6DBCB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415E73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受托方的管理者代表、生产管理部门负责人、质量管理部门负责人、放行审核人等关键岗位人员应当熟悉受托生产产品生产和质量管理情况。</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4073CB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D763C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《规范》第一百一十条</w:t>
            </w:r>
          </w:p>
        </w:tc>
      </w:tr>
      <w:tr w14:paraId="0E94B562">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17CD5">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8A9E40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01A2A8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DB0075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委托方应当与受托方共同策划完成生产转换活动，确保产品技术要求、原材料和生产工艺要求以及说明书和标签等有效转移到受托方。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902362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89FC60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《规范》第一百一十一条</w:t>
            </w:r>
          </w:p>
        </w:tc>
      </w:tr>
      <w:tr w14:paraId="712D3D3F">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DFBC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48F2F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00C195">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589A746">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受托方应当开展试生产以及相应验证与确认活动，试生产应当包括所转移的全部生产和质量控制过程。</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43351F2">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E9648F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《规范》第一百一十一条</w:t>
            </w:r>
          </w:p>
        </w:tc>
      </w:tr>
      <w:tr w14:paraId="66C55C83">
        <w:tblPrEx>
          <w:tblCellMar>
            <w:top w:w="0" w:type="dxa"/>
            <w:left w:w="108" w:type="dxa"/>
            <w:bottom w:w="0" w:type="dxa"/>
            <w:right w:w="108" w:type="dxa"/>
          </w:tblCellMar>
        </w:tblPrEx>
        <w:trPr>
          <w:cantSplit/>
          <w:trHeight w:val="1644"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E940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EECBC9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EFE7A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D72CCD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委托方设计变更、采购变更等应当及时通知受托方，并监督其执行变更要求；应当采取有效措施，确保及时获知受托方发生的可能影响产品质量的变更，并与受托方开展联合评估。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EA1EB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167257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《规范》第一百一十二条</w:t>
            </w:r>
          </w:p>
        </w:tc>
      </w:tr>
      <w:tr w14:paraId="46FA0AA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A263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296577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1A04A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CC9531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受托方应当落实委托方的变更要求，并结合生产质量管理情况向委托方反馈变更需求。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0AB356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735AB2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《规范》第一百一十二条</w:t>
            </w:r>
          </w:p>
        </w:tc>
      </w:tr>
      <w:tr w14:paraId="0BD5FBDE">
        <w:tblPrEx>
          <w:tblCellMar>
            <w:top w:w="0" w:type="dxa"/>
            <w:left w:w="108" w:type="dxa"/>
            <w:bottom w:w="0" w:type="dxa"/>
            <w:right w:w="108" w:type="dxa"/>
          </w:tblCellMar>
        </w:tblPrEx>
        <w:trPr>
          <w:cantSplit/>
          <w:trHeight w:val="1984"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7A2E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4D484B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4F93E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37ED65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14642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E36DCF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《规范》第一百一十三条</w:t>
            </w:r>
          </w:p>
        </w:tc>
      </w:tr>
      <w:tr w14:paraId="3FD56A4F">
        <w:tblPrEx>
          <w:tblCellMar>
            <w:top w:w="0" w:type="dxa"/>
            <w:left w:w="108" w:type="dxa"/>
            <w:bottom w:w="0" w:type="dxa"/>
            <w:right w:w="108" w:type="dxa"/>
          </w:tblCellMar>
        </w:tblPrEx>
        <w:trPr>
          <w:cantSplit/>
          <w:trHeight w:val="1361"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8A5A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E61325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EF08AD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A10C8C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8D9D62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B5D32C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《规范》第一百一十三条</w:t>
            </w:r>
          </w:p>
        </w:tc>
      </w:tr>
      <w:tr w14:paraId="0FE0B7E3">
        <w:tblPrEx>
          <w:tblCellMar>
            <w:top w:w="0" w:type="dxa"/>
            <w:left w:w="108" w:type="dxa"/>
            <w:bottom w:w="0" w:type="dxa"/>
            <w:right w:w="108" w:type="dxa"/>
          </w:tblCellMar>
        </w:tblPrEx>
        <w:trPr>
          <w:cantSplit/>
          <w:trHeight w:val="1020" w:hRule="atLeas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9D470">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ECD0CF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07B48F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6568F0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受托方应当及时向委托方报告生产过程中出现的可能影响产品质量的偏差、变更、异常情况，并保留处理记录。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6D91A6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C9AD74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《规范》第一百一十四条</w:t>
            </w:r>
          </w:p>
        </w:tc>
      </w:tr>
      <w:tr w14:paraId="12EAD2A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984DC">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DD28C4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ECDEF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93522C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产品实现过程中涉及外协加工的，企业应当建立外协加工控制程序，对外协加工过程实施控制，确保满足相关法律法规要求。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7C76C0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9CE536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《规范》第一百一十五条</w:t>
            </w:r>
          </w:p>
        </w:tc>
      </w:tr>
      <w:tr w14:paraId="548B11F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F345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872338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5DD78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C2F82D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企业至少应当将外协加工方作为供应商进行管理，对外协加工方加工能力、质量保证能力、风险管理能力等进行评估。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5A2B34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366851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《规范》第一百一十六条</w:t>
            </w:r>
          </w:p>
        </w:tc>
      </w:tr>
      <w:tr w14:paraId="20C55A0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E140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EC3D8A2">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D491E14">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DC00DA8">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B1B9BB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D5F6A14">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《规范》第一百一十六条</w:t>
            </w:r>
          </w:p>
        </w:tc>
      </w:tr>
      <w:tr w14:paraId="55F8D4DE">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0425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第十三章</w:t>
            </w:r>
          </w:p>
          <w:p w14:paraId="7B1CCDC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销售与售后服务</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AFF67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FA3CF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F198E1F">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产品销售与售后服务等活动应当符合医疗器械相关法律、法规、规章和规范要求。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CBF5B0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5EDD7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《规范》第一百一十七条</w:t>
            </w:r>
          </w:p>
        </w:tc>
      </w:tr>
      <w:tr w14:paraId="02E8999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CEBB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6FA255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07C42F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7F24B35">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企业应当保留产品销售记录，并满足追溯要求。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2A8771">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3AD279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《规范》第一百一十七条</w:t>
            </w:r>
          </w:p>
        </w:tc>
      </w:tr>
      <w:tr w14:paraId="177ABE7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2DEA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416C17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4CB81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66E243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销售记录至少包括医疗器械名称、规格、型号、数量、生产批号或者产品编号（序列号）、医疗器械唯一标识、使用期限（预期使用期限）或者失效日期、销售日期、购货单位名称、地址、联系方式。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2C5FF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1427C38">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《规范》第一百一十七条</w:t>
            </w:r>
          </w:p>
        </w:tc>
      </w:tr>
      <w:tr w14:paraId="3CC89742">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2DC5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B22C9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E7B66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C60446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企业应当采用经验证或者确认的运输条件和工具运输产品并做好产品防护。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26E6D3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352CD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《规范》第一百一十八条</w:t>
            </w:r>
          </w:p>
        </w:tc>
      </w:tr>
      <w:tr w14:paraId="499B9D7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52A56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A5C86E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0E9C8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8C6F12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对有特殊要求的，企业应当对运输过程实施监控。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28C5E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06599D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《规范》第一百一十八条</w:t>
            </w:r>
          </w:p>
        </w:tc>
      </w:tr>
      <w:tr w14:paraId="7AB06989">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79ED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AA546E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7A3FC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142C1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企业应当具备与所生产产品相适应的售后服务能力，建立健全售后服务制度。</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A7BB7B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7AB95E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《规范》第一百一十九条</w:t>
            </w:r>
          </w:p>
        </w:tc>
      </w:tr>
      <w:tr w14:paraId="4B44FFA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88E1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62996C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7023B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4653B2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企业应当规定售后服务要求，保留售后服务记录，并满足追溯要求。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E5AB2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743251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《规范》第一百一十九条</w:t>
            </w:r>
          </w:p>
        </w:tc>
      </w:tr>
      <w:tr w14:paraId="4F25B8D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AC1A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CA5913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5921C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B1BA13A">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需要由企业安装的医疗器械，企业应当确定安装要求和安装验证接收标准，并保留安装和验收记录。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4BDB7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FC26EA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《规范》第一百二十条</w:t>
            </w:r>
          </w:p>
        </w:tc>
      </w:tr>
      <w:tr w14:paraId="4A69CE28">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5AFDE">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154C4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716793E">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DD29F14">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由使用单位或者其他企业进行安装、维修的，企业应当提供安装要求、标准和维修零部件、资料、密码等，并进行指导。</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E9D59B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B26DA6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《规范》第一百二十条</w:t>
            </w:r>
          </w:p>
        </w:tc>
      </w:tr>
      <w:tr w14:paraId="7814B302">
        <w:tblPrEx>
          <w:tblCellMar>
            <w:top w:w="0" w:type="dxa"/>
            <w:left w:w="108" w:type="dxa"/>
            <w:bottom w:w="0" w:type="dxa"/>
            <w:right w:w="108" w:type="dxa"/>
          </w:tblCellMar>
        </w:tblPrEx>
        <w:trPr>
          <w:cantSplit/>
          <w:jc w:val="center"/>
        </w:trPr>
        <w:tc>
          <w:tcPr>
            <w:tcW w:w="13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7AD4363">
            <w:pPr>
              <w:widowControl/>
              <w:jc w:val="center"/>
              <w:textAlignment w:val="center"/>
              <w:rPr>
                <w:rFonts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bidi="ar"/>
              </w:rPr>
              <w:t>第十四章</w:t>
            </w:r>
          </w:p>
          <w:p w14:paraId="5B247A8F">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分析与改进</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AB7BF3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70A3E1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CC0A6BD">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企业应当开展产品和质量管理体系监测、分析和改进活动，确保产品安全有效、质量管理体系持续有效运行。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F59932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D5D02A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《规范》第一百二十一条</w:t>
            </w:r>
          </w:p>
        </w:tc>
      </w:tr>
      <w:tr w14:paraId="32DA18C7">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28BCD">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E67DAD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5531A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AE7A992">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企业应当建立产品质量投诉和顾客反馈处理程序，明确相关部门职责，及时接收、调查、评价和处理投诉与反馈意见，并保留相关记录。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B83C5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97AFB7">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《规范》第一百二十二条</w:t>
            </w:r>
          </w:p>
        </w:tc>
      </w:tr>
      <w:tr w14:paraId="3178F6D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DB3F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1847DEA">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F581A1">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6C8B393">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企业应当建立医疗器械不良事件监测制度，对发生的不良事件及时报告，并开展调查、分析、评价，必要时采取风险控制措施。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350AA10">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DB7A27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《规范》第一百二十三条</w:t>
            </w:r>
          </w:p>
        </w:tc>
      </w:tr>
      <w:tr w14:paraId="6F3B941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DD161">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06F840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6992EC">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AAF36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D6B4EB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90B3EE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《规范》第一百二十四条</w:t>
            </w:r>
          </w:p>
        </w:tc>
      </w:tr>
      <w:tr w14:paraId="5125C37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F038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5AF67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8ADE4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59079F7">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934F69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C86CDA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《规范》第一百二十五条</w:t>
            </w:r>
          </w:p>
        </w:tc>
      </w:tr>
      <w:tr w14:paraId="3FAEC49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704A2">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072AAF6">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801ECF">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E88E3A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企业采取的纠正预防措施应当与问题影响程度相适应，且经验证无不良影响。措施有效性应当进行确认。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ADA953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3D2F1BA">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《规范》第一百二十五条</w:t>
            </w:r>
          </w:p>
        </w:tc>
      </w:tr>
      <w:tr w14:paraId="0577AA36">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73B96">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D316DB">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4F9DD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18EA49">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企业应当建立医疗器械召回管理制度，收集医疗器械安全相关信息，对可能的缺陷产品进行调查、评估，及时召回缺陷产品，并按照规定报告有关部门。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0DEFCE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F0EAB4E">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《规范》第一百二十六条</w:t>
            </w:r>
          </w:p>
        </w:tc>
      </w:tr>
      <w:tr w14:paraId="5EE842E4">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C9F3F">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D512240">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7A1FB3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C5ED260">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企业应当建立产品信息告知程序，及时将与产品安全有关的变化信息通知相关企业、使用单位或者消费者。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3A6591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66C228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《规范》第一百二十七条</w:t>
            </w:r>
          </w:p>
        </w:tc>
      </w:tr>
      <w:tr w14:paraId="3E05519B">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971B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4F3465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3F412E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A7525DB">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企业应当建立质量管理体系内部审核程序，确定审核准则、范围、频次、参加人员、方法、记录要求、纠正预防措施有效性评定等内容。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6A6BA43">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A89526">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《规范》第一百二十八条</w:t>
            </w:r>
          </w:p>
        </w:tc>
      </w:tr>
      <w:tr w14:paraId="4F353D4F">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30CE4">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37DBFF9">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728BE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FBB9A1">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企业应当制定内部审核计划，按计划实施内部审核并形成审核报告，对审核发现的不合格问题应当采取纠正预防措施。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C6E81C">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8C0D8C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《规范》第一百二十八条</w:t>
            </w:r>
          </w:p>
        </w:tc>
      </w:tr>
      <w:tr w14:paraId="46E8E97C">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3B1A3">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10DCF98">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B18D857">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7C42FE">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9889F95">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598314B">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《规范》第一百二十九条</w:t>
            </w:r>
          </w:p>
        </w:tc>
      </w:tr>
      <w:tr w14:paraId="45F14051">
        <w:tblPrEx>
          <w:tblCellMar>
            <w:top w:w="0" w:type="dxa"/>
            <w:left w:w="108" w:type="dxa"/>
            <w:bottom w:w="0" w:type="dxa"/>
            <w:right w:w="108" w:type="dxa"/>
          </w:tblCellMar>
        </w:tblPrEx>
        <w:trPr>
          <w:cantSplit/>
          <w:jc w:val="center"/>
        </w:trPr>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A2F49">
            <w:pPr>
              <w:jc w:val="center"/>
              <w:rPr>
                <w:rFonts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2F6BD23">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D343CD">
            <w:pPr>
              <w:widowControl/>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E2F40BC">
            <w:pPr>
              <w:widowControl/>
              <w:jc w:val="both"/>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企业应当形成管理评审报告并有相应改进措施，确保质量管理体系的持续适宜性、充分性和有效性。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8D77AFD">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5AF8D29">
            <w:pPr>
              <w:widowControl/>
              <w:jc w:val="center"/>
              <w:textAlignment w:val="center"/>
              <w:rPr>
                <w:rFonts w:ascii="Times New Roman" w:hAnsi="Times New Roman" w:eastAsia="仿宋_GB2312" w:cs="Times New Roman"/>
                <w:sz w:val="22"/>
                <w:szCs w:val="22"/>
              </w:rPr>
            </w:pPr>
            <w:r>
              <w:rPr>
                <w:rFonts w:ascii="Times New Roman" w:hAnsi="Times New Roman" w:eastAsia="仿宋_GB2312" w:cs="Times New Roman"/>
                <w:kern w:val="0"/>
                <w:sz w:val="22"/>
                <w:szCs w:val="22"/>
                <w:lang w:bidi="ar"/>
              </w:rPr>
              <w:t>《规范》第一百二十九条</w:t>
            </w:r>
          </w:p>
        </w:tc>
      </w:tr>
    </w:tbl>
    <w:p w14:paraId="6E7C6F33">
      <w:pPr>
        <w:rPr>
          <w:rFonts w:ascii="Times New Roman" w:hAnsi="Times New Roman" w:cs="Times New Roman"/>
        </w:rPr>
      </w:pPr>
    </w:p>
    <w:p w14:paraId="47F40FAE">
      <w:pPr>
        <w:rPr>
          <w:rFonts w:hint="default" w:ascii="Times New Roman" w:hAnsi="Times New Roman" w:eastAsia="黑体" w:cs="Times New Roman"/>
          <w:sz w:val="30"/>
          <w:szCs w:val="30"/>
        </w:rPr>
      </w:pPr>
    </w:p>
    <w:p w14:paraId="13F91602">
      <w:pPr>
        <w:rPr>
          <w:rFonts w:hint="default" w:ascii="Times New Roman" w:hAnsi="Times New Roman" w:eastAsia="黑体" w:cs="Times New Roman"/>
          <w:sz w:val="30"/>
          <w:szCs w:val="30"/>
        </w:rPr>
      </w:pPr>
    </w:p>
    <w:p w14:paraId="6BB2F920">
      <w:pPr>
        <w:rPr>
          <w:rFonts w:hint="default" w:ascii="Times New Roman" w:hAnsi="Times New Roman" w:eastAsia="黑体" w:cs="Times New Roman"/>
          <w:sz w:val="30"/>
          <w:szCs w:val="30"/>
        </w:rPr>
      </w:pPr>
    </w:p>
    <w:p w14:paraId="08785E1D">
      <w:pPr>
        <w:rPr>
          <w:rFonts w:hint="default" w:ascii="Times New Roman" w:hAnsi="Times New Roman" w:eastAsia="黑体" w:cs="Times New Roman"/>
          <w:sz w:val="30"/>
          <w:szCs w:val="30"/>
        </w:rPr>
      </w:pPr>
    </w:p>
    <w:p w14:paraId="62C74B06">
      <w:pPr>
        <w:rPr>
          <w:rFonts w:hint="default" w:ascii="Times New Roman" w:hAnsi="Times New Roman" w:eastAsia="黑体" w:cs="Times New Roman"/>
          <w:sz w:val="30"/>
          <w:szCs w:val="30"/>
        </w:rPr>
      </w:pPr>
    </w:p>
    <w:p w14:paraId="413B07D1">
      <w:pPr>
        <w:rPr>
          <w:rFonts w:hint="default" w:ascii="Times New Roman" w:hAnsi="Times New Roman" w:eastAsia="黑体" w:cs="Times New Roman"/>
          <w:sz w:val="30"/>
          <w:szCs w:val="30"/>
        </w:rPr>
      </w:pPr>
    </w:p>
    <w:p w14:paraId="4E5F3AD8">
      <w:pPr>
        <w:rPr>
          <w:rFonts w:hint="default" w:ascii="Times New Roman" w:hAnsi="Times New Roman" w:eastAsia="黑体" w:cs="Times New Roman"/>
          <w:sz w:val="30"/>
          <w:szCs w:val="30"/>
        </w:rPr>
      </w:pPr>
    </w:p>
    <w:p w14:paraId="2E646205">
      <w:pPr>
        <w:rPr>
          <w:rFonts w:hint="default" w:ascii="Times New Roman" w:hAnsi="Times New Roman" w:eastAsia="黑体" w:cs="Times New Roman"/>
          <w:sz w:val="30"/>
          <w:szCs w:val="30"/>
        </w:rPr>
      </w:pPr>
    </w:p>
    <w:p w14:paraId="1D873E9B">
      <w:pPr>
        <w:rPr>
          <w:rFonts w:hint="default" w:ascii="Times New Roman" w:hAnsi="Times New Roman" w:eastAsia="黑体" w:cs="Times New Roman"/>
          <w:sz w:val="30"/>
          <w:szCs w:val="30"/>
        </w:rPr>
      </w:pPr>
    </w:p>
    <w:p w14:paraId="7E69180C">
      <w:pPr>
        <w:rPr>
          <w:rFonts w:hint="default" w:ascii="Times New Roman" w:hAnsi="Times New Roman" w:eastAsia="黑体" w:cs="Times New Roman"/>
          <w:sz w:val="30"/>
          <w:szCs w:val="30"/>
        </w:rPr>
      </w:pPr>
    </w:p>
    <w:p w14:paraId="4262457B">
      <w:pPr>
        <w:rPr>
          <w:rFonts w:hint="default" w:ascii="Times New Roman" w:hAnsi="Times New Roman" w:eastAsia="黑体" w:cs="Times New Roman"/>
          <w:sz w:val="30"/>
          <w:szCs w:val="30"/>
        </w:rPr>
      </w:pPr>
    </w:p>
    <w:p w14:paraId="6450E602">
      <w:pPr>
        <w:rPr>
          <w:rFonts w:hint="default" w:ascii="Times New Roman" w:hAnsi="Times New Roman" w:eastAsia="黑体" w:cs="Times New Roman"/>
          <w:sz w:val="30"/>
          <w:szCs w:val="30"/>
        </w:rPr>
      </w:pPr>
    </w:p>
    <w:p w14:paraId="7F2624B3">
      <w:pPr>
        <w:rPr>
          <w:rFonts w:hint="default" w:ascii="Times New Roman" w:hAnsi="Times New Roman" w:eastAsia="黑体" w:cs="Times New Roman"/>
          <w:sz w:val="30"/>
          <w:szCs w:val="30"/>
        </w:rPr>
      </w:pPr>
    </w:p>
    <w:p w14:paraId="4806EEE9">
      <w:pPr>
        <w:rPr>
          <w:rFonts w:hint="default" w:ascii="Times New Roman" w:hAnsi="Times New Roman" w:eastAsia="黑体" w:cs="Times New Roman"/>
          <w:sz w:val="30"/>
          <w:szCs w:val="30"/>
        </w:rPr>
      </w:pPr>
    </w:p>
    <w:p w14:paraId="594C736A">
      <w:pPr>
        <w:rPr>
          <w:rFonts w:hint="default" w:ascii="Times New Roman" w:hAnsi="Times New Roman" w:eastAsia="黑体" w:cs="Times New Roman"/>
          <w:sz w:val="30"/>
          <w:szCs w:val="30"/>
        </w:rPr>
      </w:pPr>
    </w:p>
    <w:p w14:paraId="5536ACA7">
      <w:pPr>
        <w:spacing w:line="500" w:lineRule="exact"/>
        <w:rPr>
          <w:rFonts w:ascii="Times New Roman" w:hAnsi="Times New Roman" w:eastAsia="仿宋_GB2312" w:cs="Times New Roman"/>
          <w:sz w:val="28"/>
          <w:szCs w:val="28"/>
        </w:rPr>
      </w:pPr>
    </w:p>
    <w:sectPr>
      <w:footerReference r:id="rId3" w:type="default"/>
      <w:pgSz w:w="11906" w:h="16838"/>
      <w:pgMar w:top="1928" w:right="1531" w:bottom="1814" w:left="1531" w:header="851" w:footer="1134"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BC22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476958">
                          <w:pPr>
                            <w:pStyle w:val="6"/>
                            <w:rPr>
                              <w:rFonts w:hint="eastAsia" w:eastAsia="宋体"/>
                              <w:sz w:val="28"/>
                              <w:szCs w:val="28"/>
                              <w:lang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r>
                            <w:rPr>
                              <w:rFonts w:hint="eastAsia"/>
                              <w:color w:val="FFFFFF"/>
                              <w:sz w:val="28"/>
                              <w:szCs w:val="28"/>
                              <w:lang w:eastAsia="zh-CN"/>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eocd4BAAC+AwAADgAAAGRycy9lMm9Eb2MueG1srVPNjtMwEL4j8Q6W&#10;7zTZroS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Gx6hx3gEAAL4DAAAOAAAAAAAA&#10;AAEAIAAAAB4BAABkcnMvZTJvRG9jLnhtbFBLBQYAAAAABgAGAFkBAABuBQAAAAA=&#10;">
              <v:fill on="f" focussize="0,0"/>
              <v:stroke on="f"/>
              <v:imagedata o:title=""/>
              <o:lock v:ext="edit" aspectratio="f"/>
              <v:textbox inset="0mm,0mm,0mm,0mm" style="mso-fit-shape-to-text:t;">
                <w:txbxContent>
                  <w:p w14:paraId="17476958">
                    <w:pPr>
                      <w:pStyle w:val="6"/>
                      <w:rPr>
                        <w:rFonts w:hint="eastAsia" w:eastAsia="宋体"/>
                        <w:sz w:val="28"/>
                        <w:szCs w:val="28"/>
                        <w:lang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r>
                      <w:rPr>
                        <w:rFonts w:hint="eastAsia"/>
                        <w:color w:val="FFFFFF"/>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9"/>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C8"/>
    <w:rsid w:val="00001DC0"/>
    <w:rsid w:val="00004BD1"/>
    <w:rsid w:val="00006D86"/>
    <w:rsid w:val="000109FE"/>
    <w:rsid w:val="00030022"/>
    <w:rsid w:val="000335DF"/>
    <w:rsid w:val="00035161"/>
    <w:rsid w:val="0003704E"/>
    <w:rsid w:val="000574F7"/>
    <w:rsid w:val="00061DFE"/>
    <w:rsid w:val="00071507"/>
    <w:rsid w:val="00074D97"/>
    <w:rsid w:val="00076D87"/>
    <w:rsid w:val="0009428B"/>
    <w:rsid w:val="000A2989"/>
    <w:rsid w:val="000A4464"/>
    <w:rsid w:val="000A4FAD"/>
    <w:rsid w:val="000B4396"/>
    <w:rsid w:val="000C1841"/>
    <w:rsid w:val="00101F08"/>
    <w:rsid w:val="00104873"/>
    <w:rsid w:val="00143BFB"/>
    <w:rsid w:val="001666C7"/>
    <w:rsid w:val="00171D86"/>
    <w:rsid w:val="001723F7"/>
    <w:rsid w:val="001754B2"/>
    <w:rsid w:val="00175EF6"/>
    <w:rsid w:val="00185599"/>
    <w:rsid w:val="001A0347"/>
    <w:rsid w:val="001C6B7D"/>
    <w:rsid w:val="00203EBB"/>
    <w:rsid w:val="00221B4C"/>
    <w:rsid w:val="0024221B"/>
    <w:rsid w:val="00261AD8"/>
    <w:rsid w:val="00266D2D"/>
    <w:rsid w:val="00283CBF"/>
    <w:rsid w:val="002A354F"/>
    <w:rsid w:val="002B035C"/>
    <w:rsid w:val="002B3253"/>
    <w:rsid w:val="002D5818"/>
    <w:rsid w:val="002E3B72"/>
    <w:rsid w:val="002E4226"/>
    <w:rsid w:val="002F2CC3"/>
    <w:rsid w:val="00300C24"/>
    <w:rsid w:val="003063A8"/>
    <w:rsid w:val="00316973"/>
    <w:rsid w:val="00317CA7"/>
    <w:rsid w:val="00333067"/>
    <w:rsid w:val="003412EF"/>
    <w:rsid w:val="00343B0E"/>
    <w:rsid w:val="003465C3"/>
    <w:rsid w:val="0035031B"/>
    <w:rsid w:val="0036326B"/>
    <w:rsid w:val="00365874"/>
    <w:rsid w:val="00381E57"/>
    <w:rsid w:val="0039075A"/>
    <w:rsid w:val="0039703E"/>
    <w:rsid w:val="003F5153"/>
    <w:rsid w:val="00400BB6"/>
    <w:rsid w:val="00402F67"/>
    <w:rsid w:val="00406655"/>
    <w:rsid w:val="00443ED4"/>
    <w:rsid w:val="0045249E"/>
    <w:rsid w:val="00453B18"/>
    <w:rsid w:val="00454EAC"/>
    <w:rsid w:val="004603D5"/>
    <w:rsid w:val="00466921"/>
    <w:rsid w:val="0047111D"/>
    <w:rsid w:val="00472F36"/>
    <w:rsid w:val="004F27D3"/>
    <w:rsid w:val="00502F15"/>
    <w:rsid w:val="00512C2E"/>
    <w:rsid w:val="00520E66"/>
    <w:rsid w:val="00545CDB"/>
    <w:rsid w:val="0056150E"/>
    <w:rsid w:val="00561EF0"/>
    <w:rsid w:val="0056587F"/>
    <w:rsid w:val="0056661D"/>
    <w:rsid w:val="00576640"/>
    <w:rsid w:val="00577325"/>
    <w:rsid w:val="005832B5"/>
    <w:rsid w:val="00585E0D"/>
    <w:rsid w:val="00593C49"/>
    <w:rsid w:val="005A66E9"/>
    <w:rsid w:val="005C0329"/>
    <w:rsid w:val="005C172C"/>
    <w:rsid w:val="005C1E9F"/>
    <w:rsid w:val="005D344A"/>
    <w:rsid w:val="005D50C9"/>
    <w:rsid w:val="005D7D24"/>
    <w:rsid w:val="005E3E9D"/>
    <w:rsid w:val="005E7595"/>
    <w:rsid w:val="00620134"/>
    <w:rsid w:val="00627D9D"/>
    <w:rsid w:val="00632B3B"/>
    <w:rsid w:val="0064664B"/>
    <w:rsid w:val="00652EEE"/>
    <w:rsid w:val="00660670"/>
    <w:rsid w:val="0067409E"/>
    <w:rsid w:val="00683227"/>
    <w:rsid w:val="00694CA5"/>
    <w:rsid w:val="006A2E3D"/>
    <w:rsid w:val="006C20D6"/>
    <w:rsid w:val="006E0A51"/>
    <w:rsid w:val="006F7A06"/>
    <w:rsid w:val="007045D9"/>
    <w:rsid w:val="00704786"/>
    <w:rsid w:val="007129C4"/>
    <w:rsid w:val="00724899"/>
    <w:rsid w:val="00727597"/>
    <w:rsid w:val="00754F98"/>
    <w:rsid w:val="00766D9A"/>
    <w:rsid w:val="007A3E48"/>
    <w:rsid w:val="007C3B60"/>
    <w:rsid w:val="007C77DD"/>
    <w:rsid w:val="007C7949"/>
    <w:rsid w:val="00810BF8"/>
    <w:rsid w:val="00834B83"/>
    <w:rsid w:val="00843985"/>
    <w:rsid w:val="0086624F"/>
    <w:rsid w:val="00871284"/>
    <w:rsid w:val="0087177C"/>
    <w:rsid w:val="0087484E"/>
    <w:rsid w:val="00874A57"/>
    <w:rsid w:val="00881440"/>
    <w:rsid w:val="008B7435"/>
    <w:rsid w:val="008C461A"/>
    <w:rsid w:val="008D69AA"/>
    <w:rsid w:val="008E4C76"/>
    <w:rsid w:val="008E7729"/>
    <w:rsid w:val="00902736"/>
    <w:rsid w:val="00903996"/>
    <w:rsid w:val="00910D69"/>
    <w:rsid w:val="00913503"/>
    <w:rsid w:val="00926229"/>
    <w:rsid w:val="00935839"/>
    <w:rsid w:val="00944679"/>
    <w:rsid w:val="00953CE3"/>
    <w:rsid w:val="0097437D"/>
    <w:rsid w:val="009A22E6"/>
    <w:rsid w:val="009A2520"/>
    <w:rsid w:val="009A2DB4"/>
    <w:rsid w:val="009A4453"/>
    <w:rsid w:val="009B6E32"/>
    <w:rsid w:val="009C0415"/>
    <w:rsid w:val="009D1D6B"/>
    <w:rsid w:val="009F7B56"/>
    <w:rsid w:val="00A01B9C"/>
    <w:rsid w:val="00A04C8E"/>
    <w:rsid w:val="00A1573D"/>
    <w:rsid w:val="00A33460"/>
    <w:rsid w:val="00A344DA"/>
    <w:rsid w:val="00A412EC"/>
    <w:rsid w:val="00A60F9E"/>
    <w:rsid w:val="00A6456B"/>
    <w:rsid w:val="00A646C6"/>
    <w:rsid w:val="00A703C1"/>
    <w:rsid w:val="00A87CF5"/>
    <w:rsid w:val="00A9276E"/>
    <w:rsid w:val="00AA1DD0"/>
    <w:rsid w:val="00AA5D6B"/>
    <w:rsid w:val="00B027D5"/>
    <w:rsid w:val="00B306AC"/>
    <w:rsid w:val="00B51F1D"/>
    <w:rsid w:val="00B5790B"/>
    <w:rsid w:val="00B7175F"/>
    <w:rsid w:val="00B92DE4"/>
    <w:rsid w:val="00B978E2"/>
    <w:rsid w:val="00BA76F9"/>
    <w:rsid w:val="00BB33A4"/>
    <w:rsid w:val="00BC5211"/>
    <w:rsid w:val="00BE381C"/>
    <w:rsid w:val="00BF0CAE"/>
    <w:rsid w:val="00BF3902"/>
    <w:rsid w:val="00C0026F"/>
    <w:rsid w:val="00C04F7F"/>
    <w:rsid w:val="00C334E0"/>
    <w:rsid w:val="00C542E4"/>
    <w:rsid w:val="00C65C49"/>
    <w:rsid w:val="00C72DDC"/>
    <w:rsid w:val="00C766DD"/>
    <w:rsid w:val="00C85A3C"/>
    <w:rsid w:val="00CB042A"/>
    <w:rsid w:val="00CB2F44"/>
    <w:rsid w:val="00CB79BE"/>
    <w:rsid w:val="00CE7EE6"/>
    <w:rsid w:val="00CF61DC"/>
    <w:rsid w:val="00D1160E"/>
    <w:rsid w:val="00D1401C"/>
    <w:rsid w:val="00D1561F"/>
    <w:rsid w:val="00D16D6D"/>
    <w:rsid w:val="00D27F0A"/>
    <w:rsid w:val="00D330E7"/>
    <w:rsid w:val="00D367D7"/>
    <w:rsid w:val="00D404B1"/>
    <w:rsid w:val="00D63096"/>
    <w:rsid w:val="00D669CB"/>
    <w:rsid w:val="00D76928"/>
    <w:rsid w:val="00D91F9F"/>
    <w:rsid w:val="00DD3744"/>
    <w:rsid w:val="00DE7F37"/>
    <w:rsid w:val="00E035B9"/>
    <w:rsid w:val="00E05A99"/>
    <w:rsid w:val="00E25F5E"/>
    <w:rsid w:val="00E352DB"/>
    <w:rsid w:val="00E71E16"/>
    <w:rsid w:val="00E75376"/>
    <w:rsid w:val="00EA11DA"/>
    <w:rsid w:val="00EA2ACC"/>
    <w:rsid w:val="00EB16E3"/>
    <w:rsid w:val="00EE420F"/>
    <w:rsid w:val="00EF0F48"/>
    <w:rsid w:val="00EF6714"/>
    <w:rsid w:val="00F32236"/>
    <w:rsid w:val="00F41AD8"/>
    <w:rsid w:val="00F42D26"/>
    <w:rsid w:val="00F5495A"/>
    <w:rsid w:val="00F64776"/>
    <w:rsid w:val="00F70CB3"/>
    <w:rsid w:val="00F81A04"/>
    <w:rsid w:val="00F8709A"/>
    <w:rsid w:val="00F94606"/>
    <w:rsid w:val="00FA1F2D"/>
    <w:rsid w:val="00FA60C8"/>
    <w:rsid w:val="00FC1DD1"/>
    <w:rsid w:val="00FD08E1"/>
    <w:rsid w:val="00FD443E"/>
    <w:rsid w:val="00FE3321"/>
    <w:rsid w:val="00FE7AE7"/>
    <w:rsid w:val="00FF2072"/>
    <w:rsid w:val="076C7171"/>
    <w:rsid w:val="07D7260F"/>
    <w:rsid w:val="0FFF1874"/>
    <w:rsid w:val="1CFF18AC"/>
    <w:rsid w:val="236B7FDA"/>
    <w:rsid w:val="24D17C23"/>
    <w:rsid w:val="2E1D31AD"/>
    <w:rsid w:val="2EBBC59D"/>
    <w:rsid w:val="2EF3E1E2"/>
    <w:rsid w:val="2FBF1CD8"/>
    <w:rsid w:val="2FEA2721"/>
    <w:rsid w:val="36BF800A"/>
    <w:rsid w:val="39807EFE"/>
    <w:rsid w:val="3DBBD636"/>
    <w:rsid w:val="3DFF73E5"/>
    <w:rsid w:val="3EDD1657"/>
    <w:rsid w:val="3FAFF312"/>
    <w:rsid w:val="3FEF424D"/>
    <w:rsid w:val="3FEFAD79"/>
    <w:rsid w:val="3FF78634"/>
    <w:rsid w:val="494F6A15"/>
    <w:rsid w:val="4ACFF250"/>
    <w:rsid w:val="4D6140A1"/>
    <w:rsid w:val="4F5FE5D1"/>
    <w:rsid w:val="4FE905EF"/>
    <w:rsid w:val="4FFF0111"/>
    <w:rsid w:val="52FF3B38"/>
    <w:rsid w:val="53EF0C79"/>
    <w:rsid w:val="593B79EB"/>
    <w:rsid w:val="59FBE0D7"/>
    <w:rsid w:val="5AB80F8D"/>
    <w:rsid w:val="5BDF9B08"/>
    <w:rsid w:val="5EF35B15"/>
    <w:rsid w:val="5F65F6F2"/>
    <w:rsid w:val="5F7FEF35"/>
    <w:rsid w:val="5FBC4286"/>
    <w:rsid w:val="5FDED463"/>
    <w:rsid w:val="5FDF3BDE"/>
    <w:rsid w:val="5FFE0EFC"/>
    <w:rsid w:val="65F7BA63"/>
    <w:rsid w:val="67A41714"/>
    <w:rsid w:val="67FA826D"/>
    <w:rsid w:val="690C630C"/>
    <w:rsid w:val="69DD9CEE"/>
    <w:rsid w:val="6F5FF462"/>
    <w:rsid w:val="6FBF375D"/>
    <w:rsid w:val="6FCF2B29"/>
    <w:rsid w:val="709B3342"/>
    <w:rsid w:val="74F474B3"/>
    <w:rsid w:val="760FD09F"/>
    <w:rsid w:val="76793DF3"/>
    <w:rsid w:val="76DE451F"/>
    <w:rsid w:val="772FB97C"/>
    <w:rsid w:val="77D750D0"/>
    <w:rsid w:val="77DD454A"/>
    <w:rsid w:val="77F26894"/>
    <w:rsid w:val="7A6A75E4"/>
    <w:rsid w:val="7AFF145C"/>
    <w:rsid w:val="7AFF6C63"/>
    <w:rsid w:val="7B779CE3"/>
    <w:rsid w:val="7BEE75BB"/>
    <w:rsid w:val="7CC3F0FE"/>
    <w:rsid w:val="7D7A4D30"/>
    <w:rsid w:val="7DFF9B90"/>
    <w:rsid w:val="7DFFC06F"/>
    <w:rsid w:val="7F7EFDAE"/>
    <w:rsid w:val="7F7F3638"/>
    <w:rsid w:val="7F9E56D1"/>
    <w:rsid w:val="7FBF8801"/>
    <w:rsid w:val="7FEAA5DA"/>
    <w:rsid w:val="7FEF12B4"/>
    <w:rsid w:val="7FF39FE4"/>
    <w:rsid w:val="85FE8A8C"/>
    <w:rsid w:val="8AFF3D20"/>
    <w:rsid w:val="8BEF86DE"/>
    <w:rsid w:val="8EEB9182"/>
    <w:rsid w:val="92FF7EBE"/>
    <w:rsid w:val="967B693D"/>
    <w:rsid w:val="97FF8918"/>
    <w:rsid w:val="9BF16257"/>
    <w:rsid w:val="AEEF82A3"/>
    <w:rsid w:val="AFD72279"/>
    <w:rsid w:val="B1DDCAE3"/>
    <w:rsid w:val="B65F820C"/>
    <w:rsid w:val="B7CF210A"/>
    <w:rsid w:val="B7FFFF26"/>
    <w:rsid w:val="BB8E03F9"/>
    <w:rsid w:val="BBFB13AD"/>
    <w:rsid w:val="BE695335"/>
    <w:rsid w:val="BFE6DBF6"/>
    <w:rsid w:val="BFEF00B5"/>
    <w:rsid w:val="BFF60FCF"/>
    <w:rsid w:val="BFF7C225"/>
    <w:rsid w:val="CB7FC34F"/>
    <w:rsid w:val="DD7F76F1"/>
    <w:rsid w:val="DDC9489D"/>
    <w:rsid w:val="DDFB49BC"/>
    <w:rsid w:val="DEB63779"/>
    <w:rsid w:val="DEFFF8AB"/>
    <w:rsid w:val="DF57D577"/>
    <w:rsid w:val="DF62E2C4"/>
    <w:rsid w:val="DFB4EABC"/>
    <w:rsid w:val="DFEBE70D"/>
    <w:rsid w:val="DFEF6A73"/>
    <w:rsid w:val="E67EA455"/>
    <w:rsid w:val="E73D4FB7"/>
    <w:rsid w:val="EA7F93B4"/>
    <w:rsid w:val="EB776EEB"/>
    <w:rsid w:val="EB7BAA5E"/>
    <w:rsid w:val="EBEF352D"/>
    <w:rsid w:val="ECDF7FD7"/>
    <w:rsid w:val="EF5F2932"/>
    <w:rsid w:val="EF7E702F"/>
    <w:rsid w:val="EF7F297F"/>
    <w:rsid w:val="EFB6F5DE"/>
    <w:rsid w:val="F1DD304E"/>
    <w:rsid w:val="F35F009D"/>
    <w:rsid w:val="F4BF7C53"/>
    <w:rsid w:val="F5F904E8"/>
    <w:rsid w:val="F6E88058"/>
    <w:rsid w:val="F7B7C4F5"/>
    <w:rsid w:val="F7F8B30E"/>
    <w:rsid w:val="F9F7549B"/>
    <w:rsid w:val="FB6DDE36"/>
    <w:rsid w:val="FBB35388"/>
    <w:rsid w:val="FBBDA4E0"/>
    <w:rsid w:val="FD2D2295"/>
    <w:rsid w:val="FD63F142"/>
    <w:rsid w:val="FD7F3E77"/>
    <w:rsid w:val="FDDB4893"/>
    <w:rsid w:val="FE3FE6F7"/>
    <w:rsid w:val="FE9705DF"/>
    <w:rsid w:val="FECEF4E4"/>
    <w:rsid w:val="FED73D2B"/>
    <w:rsid w:val="FEE7883D"/>
    <w:rsid w:val="FEF903CB"/>
    <w:rsid w:val="FF6614F4"/>
    <w:rsid w:val="FFAF7978"/>
    <w:rsid w:val="FFBBBD2E"/>
    <w:rsid w:val="FFF53FCB"/>
    <w:rsid w:val="FFFBA924"/>
    <w:rsid w:val="FFFE09F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rFonts w:ascii="Calibri" w:hAnsi="Calibri"/>
    </w:rPr>
  </w:style>
  <w:style w:type="paragraph" w:styleId="3">
    <w:name w:val="Document Map"/>
    <w:basedOn w:val="1"/>
    <w:semiHidden/>
    <w:uiPriority w:val="0"/>
    <w:pPr>
      <w:shd w:val="clear" w:color="auto" w:fill="000080"/>
    </w:pPr>
  </w:style>
  <w:style w:type="paragraph" w:styleId="4">
    <w:name w:val="Body Text Indent"/>
    <w:basedOn w:val="1"/>
    <w:next w:val="2"/>
    <w:qFormat/>
    <w:uiPriority w:val="0"/>
    <w:pPr>
      <w:ind w:firstLine="615"/>
    </w:pPr>
  </w:style>
  <w:style w:type="paragraph" w:styleId="5">
    <w:name w:val="Balloon Text"/>
    <w:basedOn w:val="1"/>
    <w:semiHidden/>
    <w:uiPriority w:val="0"/>
    <w:rPr>
      <w:sz w:val="18"/>
      <w:szCs w:val="18"/>
    </w:rPr>
  </w:style>
  <w:style w:type="paragraph" w:styleId="6">
    <w:name w:val="footer"/>
    <w:basedOn w:val="1"/>
    <w:link w:val="13"/>
    <w:qFormat/>
    <w:uiPriority w:val="99"/>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 w:type="paragraph" w:styleId="9">
    <w:name w:val="Body Text First Indent 2"/>
    <w:basedOn w:val="4"/>
    <w:qFormat/>
    <w:uiPriority w:val="0"/>
    <w:pPr>
      <w:ind w:firstLine="640"/>
    </w:pPr>
    <w:rPr>
      <w:rFonts w:hint="eastAsia"/>
    </w:rPr>
  </w:style>
  <w:style w:type="character" w:styleId="12">
    <w:name w:val="page number"/>
    <w:basedOn w:val="11"/>
    <w:qFormat/>
    <w:uiPriority w:val="0"/>
  </w:style>
  <w:style w:type="character" w:customStyle="1" w:styleId="13">
    <w:name w:val="页脚 Char"/>
    <w:link w:val="6"/>
    <w:qFormat/>
    <w:uiPriority w:val="99"/>
    <w:rPr>
      <w:kern w:val="2"/>
      <w:sz w:val="18"/>
      <w:szCs w:val="18"/>
    </w:rPr>
  </w:style>
  <w:style w:type="character" w:customStyle="1" w:styleId="14">
    <w:name w:val="font41"/>
    <w:basedOn w:val="11"/>
    <w:qFormat/>
    <w:uiPriority w:val="0"/>
    <w:rPr>
      <w:rFonts w:hint="eastAsia" w:ascii="宋体" w:hAnsi="宋体" w:eastAsia="宋体" w:cs="宋体"/>
      <w:color w:val="FF0000"/>
      <w:sz w:val="22"/>
      <w:szCs w:val="22"/>
      <w:u w:val="none"/>
    </w:rPr>
  </w:style>
  <w:style w:type="character" w:customStyle="1" w:styleId="15">
    <w:name w:val="font31"/>
    <w:basedOn w:val="11"/>
    <w:qFormat/>
    <w:uiPriority w:val="0"/>
    <w:rPr>
      <w:rFonts w:hint="eastAsia" w:ascii="宋体" w:hAnsi="宋体" w:eastAsia="宋体" w:cs="宋体"/>
      <w:color w:val="000000"/>
      <w:sz w:val="22"/>
      <w:szCs w:val="22"/>
      <w:u w:val="none"/>
    </w:rPr>
  </w:style>
  <w:style w:type="character" w:customStyle="1" w:styleId="16">
    <w:name w:val="font61"/>
    <w:basedOn w:val="11"/>
    <w:qFormat/>
    <w:uiPriority w:val="0"/>
    <w:rPr>
      <w:rFonts w:hint="eastAsia" w:ascii="宋体" w:hAnsi="宋体" w:eastAsia="宋体" w:cs="宋体"/>
      <w:color w:val="000000"/>
      <w:sz w:val="22"/>
      <w:szCs w:val="22"/>
      <w:u w:val="none"/>
    </w:rPr>
  </w:style>
  <w:style w:type="character" w:customStyle="1" w:styleId="17">
    <w:name w:val="font71"/>
    <w:basedOn w:val="11"/>
    <w:qFormat/>
    <w:uiPriority w:val="0"/>
    <w:rPr>
      <w:rFonts w:hint="eastAsia" w:ascii="宋体" w:hAnsi="宋体" w:eastAsia="宋体" w:cs="宋体"/>
      <w:color w:val="000000"/>
      <w:sz w:val="20"/>
      <w:szCs w:val="20"/>
      <w:u w:val="none"/>
    </w:rPr>
  </w:style>
  <w:style w:type="character" w:customStyle="1" w:styleId="18">
    <w:name w:val="font51"/>
    <w:basedOn w:val="11"/>
    <w:qFormat/>
    <w:uiPriority w:val="0"/>
    <w:rPr>
      <w:rFonts w:hint="eastAsia" w:ascii="宋体" w:hAnsi="宋体" w:eastAsia="宋体" w:cs="宋体"/>
      <w:color w:val="FF0000"/>
      <w:sz w:val="20"/>
      <w:szCs w:val="20"/>
      <w:u w:val="none"/>
    </w:rPr>
  </w:style>
  <w:style w:type="character" w:customStyle="1" w:styleId="19">
    <w:name w:val="font11"/>
    <w:basedOn w:val="11"/>
    <w:qFormat/>
    <w:uiPriority w:val="0"/>
    <w:rPr>
      <w:rFonts w:hint="eastAsia" w:ascii="宋体" w:hAnsi="宋体" w:eastAsia="宋体" w:cs="宋体"/>
      <w:color w:val="000000"/>
      <w:sz w:val="20"/>
      <w:szCs w:val="20"/>
      <w:u w:val="none"/>
    </w:rPr>
  </w:style>
  <w:style w:type="character" w:customStyle="1" w:styleId="20">
    <w:name w:val="font2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1B34E6C4.dotm</Template>
  <Company>Xtzj.Com</Company>
  <Pages>27</Pages>
  <Words>478</Words>
  <Characters>492</Characters>
  <Lines>57</Lines>
  <Paragraphs>15</Paragraphs>
  <TotalTime>95</TotalTime>
  <ScaleCrop>false</ScaleCrop>
  <LinksUpToDate>false</LinksUpToDate>
  <CharactersWithSpaces>492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2014-08-06T21:30:00Z</dcterms:created>
  <dc:creator>Xtzj.User</dc:creator>
  <cp:lastModifiedBy>YU</cp:lastModifiedBy>
  <cp:lastPrinted>2026-10-29T08:30:00Z</cp:lastPrinted>
  <dcterms:modified xsi:type="dcterms:W3CDTF">2026-10-28T09:01:18Z</dcterms:modified>
  <dc:title>（局发文式样）</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4DBA7313A8DF45ECBD5A9F274422A501_13</vt:lpwstr>
  </property>
  <property fmtid="{D5CDD505-2E9C-101B-9397-08002B2CF9AE}" pid="4" name="KSOTemplateDocerSaveRecord">
    <vt:lpwstr>eyJoZGlkIjoiNzUzMjcxYjI3MDRjMDIwZmVmYTgzNGM3MjE3OGJkMDMiLCJ1c2VySWQiOiIyNzgyMDExNzcifQ==</vt:lpwstr>
  </property>
</Properties>
</file>