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640F" w:rsidRPr="00266870" w:rsidRDefault="002A3323" w:rsidP="00266870">
      <w:pPr>
        <w:spacing w:line="480" w:lineRule="auto"/>
        <w:jc w:val="center"/>
        <w:rPr>
          <w:rFonts w:ascii="ˎ̥" w:hAnsi="ˎ̥" w:cs="Arial" w:hint="eastAsia"/>
          <w:b/>
          <w:bCs/>
          <w:color w:val="093A96"/>
          <w:sz w:val="40"/>
          <w:szCs w:val="33"/>
        </w:rPr>
      </w:pPr>
      <w:r w:rsidRPr="00266870">
        <w:rPr>
          <w:rFonts w:ascii="ˎ̥" w:hAnsi="ˎ̥" w:cs="Arial"/>
          <w:b/>
          <w:bCs/>
          <w:color w:val="093A96"/>
          <w:sz w:val="40"/>
          <w:szCs w:val="33"/>
        </w:rPr>
        <w:t>《体外诊断试剂注册管理办法》</w:t>
      </w:r>
    </w:p>
    <w:p w:rsidR="00334BD3" w:rsidRPr="00266870" w:rsidRDefault="002A3323" w:rsidP="00266870">
      <w:pPr>
        <w:spacing w:line="480" w:lineRule="auto"/>
        <w:jc w:val="center"/>
        <w:rPr>
          <w:rFonts w:ascii="ˎ̥" w:hAnsi="ˎ̥" w:cs="Arial" w:hint="eastAsia"/>
          <w:b/>
          <w:bCs/>
          <w:color w:val="093A96"/>
          <w:sz w:val="40"/>
          <w:szCs w:val="33"/>
        </w:rPr>
      </w:pPr>
      <w:r w:rsidRPr="00266870">
        <w:rPr>
          <w:rFonts w:ascii="ˎ̥" w:hAnsi="ˎ̥" w:cs="Arial"/>
          <w:b/>
          <w:bCs/>
          <w:color w:val="093A96"/>
          <w:sz w:val="40"/>
          <w:szCs w:val="33"/>
        </w:rPr>
        <w:t>（国家食品药品监督管理总局</w:t>
      </w:r>
      <w:proofErr w:type="gramStart"/>
      <w:r w:rsidRPr="00266870">
        <w:rPr>
          <w:rFonts w:ascii="ˎ̥" w:hAnsi="ˎ̥" w:cs="Arial"/>
          <w:b/>
          <w:bCs/>
          <w:color w:val="093A96"/>
          <w:sz w:val="40"/>
          <w:szCs w:val="33"/>
        </w:rPr>
        <w:t>局</w:t>
      </w:r>
      <w:proofErr w:type="gramEnd"/>
      <w:r w:rsidRPr="00266870">
        <w:rPr>
          <w:rFonts w:ascii="ˎ̥" w:hAnsi="ˎ̥" w:cs="Arial"/>
          <w:b/>
          <w:bCs/>
          <w:color w:val="093A96"/>
          <w:sz w:val="40"/>
          <w:szCs w:val="33"/>
        </w:rPr>
        <w:t>令第</w:t>
      </w:r>
      <w:r w:rsidRPr="00266870">
        <w:rPr>
          <w:rFonts w:ascii="ˎ̥" w:hAnsi="ˎ̥" w:cs="Arial"/>
          <w:b/>
          <w:bCs/>
          <w:color w:val="093A96"/>
          <w:sz w:val="40"/>
          <w:szCs w:val="33"/>
        </w:rPr>
        <w:t>5</w:t>
      </w:r>
      <w:r w:rsidRPr="00266870">
        <w:rPr>
          <w:rFonts w:ascii="ˎ̥" w:hAnsi="ˎ̥" w:cs="Arial"/>
          <w:b/>
          <w:bCs/>
          <w:color w:val="093A96"/>
          <w:sz w:val="40"/>
          <w:szCs w:val="33"/>
        </w:rPr>
        <w:t>号）</w:t>
      </w:r>
    </w:p>
    <w:p w:rsidR="0098640F" w:rsidRPr="00266870" w:rsidRDefault="001F30DC" w:rsidP="00266870">
      <w:pPr>
        <w:spacing w:line="480" w:lineRule="auto"/>
        <w:ind w:firstLine="630"/>
        <w:jc w:val="center"/>
        <w:rPr>
          <w:rFonts w:ascii="ˎ̥" w:eastAsia="宋体" w:hAnsi="ˎ̥" w:cs="Arial" w:hint="eastAsia"/>
          <w:color w:val="000000"/>
          <w:kern w:val="0"/>
          <w:sz w:val="24"/>
          <w:szCs w:val="21"/>
        </w:rPr>
      </w:pPr>
      <w:r>
        <w:rPr>
          <w:rStyle w:val="a3"/>
          <w:rFonts w:cs="Arial" w:hint="eastAsia"/>
          <w:color w:val="FF0000"/>
          <w:sz w:val="48"/>
          <w:szCs w:val="48"/>
        </w:rPr>
        <w:t>国家食品药品监督管理总局令</w:t>
      </w:r>
      <w:r w:rsidR="0098640F" w:rsidRPr="00266870">
        <w:rPr>
          <w:rFonts w:ascii="ˎ̥" w:hAnsi="ˎ̥" w:cs="Arial"/>
          <w:b/>
          <w:bCs/>
          <w:color w:val="FF0000"/>
          <w:szCs w:val="18"/>
        </w:rPr>
        <w:br/>
      </w:r>
      <w:r>
        <w:rPr>
          <w:rFonts w:cs="Arial" w:hint="eastAsia"/>
          <w:color w:val="000000"/>
        </w:rPr>
        <w:t>第</w:t>
      </w:r>
      <w:r>
        <w:rPr>
          <w:rFonts w:cs="Arial" w:hint="eastAsia"/>
          <w:color w:val="000000"/>
        </w:rPr>
        <w:t xml:space="preserve"> 5 </w:t>
      </w:r>
      <w:r>
        <w:rPr>
          <w:rFonts w:cs="Arial" w:hint="eastAsia"/>
          <w:color w:val="000000"/>
        </w:rPr>
        <w:t>号</w:t>
      </w:r>
    </w:p>
    <w:p w:rsidR="001F30DC" w:rsidRPr="001F30DC" w:rsidRDefault="0098640F" w:rsidP="001F30DC">
      <w:pPr>
        <w:wordWrap w:val="0"/>
        <w:spacing w:before="100" w:beforeAutospacing="1" w:after="100" w:afterAutospacing="1" w:line="480" w:lineRule="auto"/>
        <w:rPr>
          <w:rFonts w:ascii="ˎ̥" w:eastAsia="宋体" w:hAnsi="ˎ̥" w:cs="Arial" w:hint="eastAsia"/>
          <w:color w:val="000000"/>
          <w:kern w:val="0"/>
          <w:szCs w:val="21"/>
        </w:rPr>
      </w:pPr>
      <w:r w:rsidRPr="00266870">
        <w:rPr>
          <w:rFonts w:ascii="ˎ̥" w:eastAsia="宋体" w:hAnsi="ˎ̥" w:cs="Arial"/>
          <w:color w:val="000000"/>
          <w:kern w:val="0"/>
          <w:sz w:val="24"/>
          <w:szCs w:val="21"/>
        </w:rPr>
        <w:t xml:space="preserve">　　</w:t>
      </w:r>
      <w:r w:rsidR="001F30DC" w:rsidRPr="001F30DC">
        <w:rPr>
          <w:rFonts w:ascii="ˎ̥" w:eastAsia="宋体" w:hAnsi="ˎ̥" w:cs="Arial"/>
          <w:color w:val="000000"/>
          <w:kern w:val="0"/>
          <w:szCs w:val="21"/>
        </w:rPr>
        <w:t>《体外诊断试剂注册管理办法》已于</w:t>
      </w:r>
      <w:r w:rsidR="001F30DC" w:rsidRPr="001F30DC">
        <w:rPr>
          <w:rFonts w:ascii="ˎ̥" w:eastAsia="宋体" w:hAnsi="ˎ̥" w:cs="Arial"/>
          <w:color w:val="000000"/>
          <w:kern w:val="0"/>
          <w:szCs w:val="21"/>
        </w:rPr>
        <w:t>2014</w:t>
      </w:r>
      <w:r w:rsidR="001F30DC" w:rsidRPr="001F30DC">
        <w:rPr>
          <w:rFonts w:ascii="ˎ̥" w:eastAsia="宋体" w:hAnsi="ˎ̥" w:cs="Arial"/>
          <w:color w:val="000000"/>
          <w:kern w:val="0"/>
          <w:szCs w:val="21"/>
        </w:rPr>
        <w:t>年</w:t>
      </w:r>
      <w:r w:rsidR="001F30DC" w:rsidRPr="001F30DC">
        <w:rPr>
          <w:rFonts w:ascii="ˎ̥" w:eastAsia="宋体" w:hAnsi="ˎ̥" w:cs="Arial"/>
          <w:color w:val="000000"/>
          <w:kern w:val="0"/>
          <w:szCs w:val="21"/>
        </w:rPr>
        <w:t>6</w:t>
      </w:r>
      <w:r w:rsidR="001F30DC" w:rsidRPr="001F30DC">
        <w:rPr>
          <w:rFonts w:ascii="ˎ̥" w:eastAsia="宋体" w:hAnsi="ˎ̥" w:cs="Arial"/>
          <w:color w:val="000000"/>
          <w:kern w:val="0"/>
          <w:szCs w:val="21"/>
        </w:rPr>
        <w:t>月</w:t>
      </w:r>
      <w:r w:rsidR="001F30DC" w:rsidRPr="001F30DC">
        <w:rPr>
          <w:rFonts w:ascii="ˎ̥" w:eastAsia="宋体" w:hAnsi="ˎ̥" w:cs="Arial"/>
          <w:color w:val="000000"/>
          <w:kern w:val="0"/>
          <w:szCs w:val="21"/>
        </w:rPr>
        <w:t>27</w:t>
      </w:r>
      <w:r w:rsidR="001F30DC" w:rsidRPr="001F30DC">
        <w:rPr>
          <w:rFonts w:ascii="ˎ̥" w:eastAsia="宋体" w:hAnsi="ˎ̥" w:cs="Arial"/>
          <w:color w:val="000000"/>
          <w:kern w:val="0"/>
          <w:szCs w:val="21"/>
        </w:rPr>
        <w:t>日经国家食品药品监督管理总局局务会议审议通过，现予公布，自</w:t>
      </w:r>
      <w:r w:rsidR="001F30DC" w:rsidRPr="001F30DC">
        <w:rPr>
          <w:rFonts w:ascii="ˎ̥" w:eastAsia="宋体" w:hAnsi="ˎ̥" w:cs="Arial"/>
          <w:color w:val="000000"/>
          <w:kern w:val="0"/>
          <w:szCs w:val="21"/>
        </w:rPr>
        <w:t>2014</w:t>
      </w:r>
      <w:r w:rsidR="001F30DC" w:rsidRPr="001F30DC">
        <w:rPr>
          <w:rFonts w:ascii="ˎ̥" w:eastAsia="宋体" w:hAnsi="ˎ̥" w:cs="Arial"/>
          <w:color w:val="000000"/>
          <w:kern w:val="0"/>
          <w:szCs w:val="21"/>
        </w:rPr>
        <w:t>年</w:t>
      </w:r>
      <w:r w:rsidR="001F30DC" w:rsidRPr="001F30DC">
        <w:rPr>
          <w:rFonts w:ascii="ˎ̥" w:eastAsia="宋体" w:hAnsi="ˎ̥" w:cs="Arial"/>
          <w:color w:val="000000"/>
          <w:kern w:val="0"/>
          <w:szCs w:val="21"/>
        </w:rPr>
        <w:t>10</w:t>
      </w:r>
      <w:r w:rsidR="001F30DC" w:rsidRPr="001F30DC">
        <w:rPr>
          <w:rFonts w:ascii="ˎ̥" w:eastAsia="宋体" w:hAnsi="ˎ̥" w:cs="Arial"/>
          <w:color w:val="000000"/>
          <w:kern w:val="0"/>
          <w:szCs w:val="21"/>
        </w:rPr>
        <w:t>月</w:t>
      </w:r>
      <w:r w:rsidR="001F30DC" w:rsidRPr="001F30DC">
        <w:rPr>
          <w:rFonts w:ascii="ˎ̥" w:eastAsia="宋体" w:hAnsi="ˎ̥" w:cs="Arial"/>
          <w:color w:val="000000"/>
          <w:kern w:val="0"/>
          <w:szCs w:val="21"/>
        </w:rPr>
        <w:t>1</w:t>
      </w:r>
      <w:r w:rsidR="001F30DC" w:rsidRPr="001F30DC">
        <w:rPr>
          <w:rFonts w:ascii="ˎ̥" w:eastAsia="宋体" w:hAnsi="ˎ̥" w:cs="Arial"/>
          <w:color w:val="000000"/>
          <w:kern w:val="0"/>
          <w:szCs w:val="21"/>
        </w:rPr>
        <w:t>日起施行。</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局　</w:t>
      </w:r>
      <w:proofErr w:type="gramStart"/>
      <w:r w:rsidRPr="001F30DC">
        <w:rPr>
          <w:rFonts w:ascii="ˎ̥" w:eastAsia="宋体" w:hAnsi="ˎ̥" w:cs="Arial"/>
          <w:color w:val="000000"/>
          <w:kern w:val="0"/>
          <w:szCs w:val="21"/>
        </w:rPr>
        <w:t xml:space="preserve">长　　</w:t>
      </w:r>
      <w:proofErr w:type="gramEnd"/>
      <w:r w:rsidRPr="001F30DC">
        <w:rPr>
          <w:rFonts w:ascii="ˎ̥" w:eastAsia="宋体" w:hAnsi="ˎ̥" w:cs="Arial"/>
          <w:color w:val="000000"/>
          <w:kern w:val="0"/>
          <w:szCs w:val="21"/>
        </w:rPr>
        <w:t>张勇</w:t>
      </w:r>
      <w:r w:rsidRPr="001F30DC">
        <w:rPr>
          <w:rFonts w:ascii="ˎ̥" w:eastAsia="宋体" w:hAnsi="ˎ̥" w:cs="Arial"/>
          <w:color w:val="000000"/>
          <w:kern w:val="0"/>
          <w:sz w:val="18"/>
          <w:szCs w:val="18"/>
        </w:rPr>
        <w:br/>
      </w:r>
      <w:proofErr w:type="gramStart"/>
      <w:r w:rsidRPr="001F30DC">
        <w:rPr>
          <w:rFonts w:ascii="ˎ̥" w:eastAsia="宋体" w:hAnsi="ˎ̥" w:cs="Arial"/>
          <w:color w:val="000000"/>
          <w:kern w:val="0"/>
          <w:szCs w:val="21"/>
        </w:rPr>
        <w:t xml:space="preserve">　　　　　　　　　　　　　　　　　　　　　　　　　　　　　　　</w:t>
      </w:r>
      <w:proofErr w:type="gramEnd"/>
      <w:r w:rsidRPr="001F30DC">
        <w:rPr>
          <w:rFonts w:ascii="ˎ̥" w:eastAsia="宋体" w:hAnsi="ˎ̥" w:cs="Arial"/>
          <w:color w:val="000000"/>
          <w:kern w:val="0"/>
          <w:szCs w:val="21"/>
        </w:rPr>
        <w:t xml:space="preserve"> 2014</w:t>
      </w:r>
      <w:r w:rsidRPr="001F30DC">
        <w:rPr>
          <w:rFonts w:ascii="ˎ̥" w:eastAsia="宋体" w:hAnsi="ˎ̥" w:cs="Arial"/>
          <w:color w:val="000000"/>
          <w:kern w:val="0"/>
          <w:szCs w:val="21"/>
        </w:rPr>
        <w:t>年</w:t>
      </w:r>
      <w:r w:rsidRPr="001F30DC">
        <w:rPr>
          <w:rFonts w:ascii="ˎ̥" w:eastAsia="宋体" w:hAnsi="ˎ̥" w:cs="Arial"/>
          <w:color w:val="000000"/>
          <w:kern w:val="0"/>
          <w:szCs w:val="21"/>
        </w:rPr>
        <w:t>7</w:t>
      </w:r>
      <w:r w:rsidRPr="001F30DC">
        <w:rPr>
          <w:rFonts w:ascii="ˎ̥" w:eastAsia="宋体" w:hAnsi="ˎ̥" w:cs="Arial"/>
          <w:color w:val="000000"/>
          <w:kern w:val="0"/>
          <w:szCs w:val="21"/>
        </w:rPr>
        <w:t>月</w:t>
      </w:r>
      <w:r w:rsidRPr="001F30DC">
        <w:rPr>
          <w:rFonts w:ascii="ˎ̥" w:eastAsia="宋体" w:hAnsi="ˎ̥" w:cs="Arial"/>
          <w:color w:val="000000"/>
          <w:kern w:val="0"/>
          <w:szCs w:val="21"/>
        </w:rPr>
        <w:t>30</w:t>
      </w:r>
      <w:r w:rsidRPr="001F30DC">
        <w:rPr>
          <w:rFonts w:ascii="ˎ̥" w:eastAsia="宋体" w:hAnsi="ˎ̥" w:cs="Arial"/>
          <w:color w:val="000000"/>
          <w:kern w:val="0"/>
          <w:szCs w:val="21"/>
        </w:rPr>
        <w:t>日</w:t>
      </w:r>
    </w:p>
    <w:p w:rsidR="0098640F" w:rsidRPr="001F30DC" w:rsidRDefault="0098640F" w:rsidP="001F30DC">
      <w:pPr>
        <w:widowControl/>
        <w:spacing w:line="480" w:lineRule="auto"/>
        <w:jc w:val="left"/>
        <w:rPr>
          <w:rFonts w:ascii="ˎ̥" w:eastAsia="宋体" w:hAnsi="ˎ̥" w:cs="Arial" w:hint="eastAsia"/>
          <w:color w:val="000000"/>
          <w:kern w:val="0"/>
          <w:sz w:val="24"/>
          <w:szCs w:val="21"/>
        </w:rPr>
      </w:pPr>
    </w:p>
    <w:p w:rsidR="001F30DC" w:rsidRPr="001F30DC" w:rsidRDefault="001F30DC" w:rsidP="001F30DC">
      <w:pPr>
        <w:widowControl/>
        <w:wordWrap w:val="0"/>
        <w:spacing w:before="100" w:beforeAutospacing="1" w:after="100" w:afterAutospacing="1" w:line="480" w:lineRule="auto"/>
        <w:jc w:val="center"/>
        <w:rPr>
          <w:rFonts w:ascii="ˎ̥" w:eastAsia="宋体" w:hAnsi="ˎ̥" w:cs="Arial" w:hint="eastAsia"/>
          <w:color w:val="000000"/>
          <w:kern w:val="0"/>
          <w:szCs w:val="21"/>
        </w:rPr>
      </w:pPr>
      <w:r w:rsidRPr="001F30DC">
        <w:rPr>
          <w:rFonts w:ascii="ˎ̥" w:eastAsia="宋体" w:hAnsi="ˎ̥" w:cs="Arial"/>
          <w:b/>
          <w:bCs/>
          <w:color w:val="000000"/>
          <w:kern w:val="0"/>
          <w:szCs w:val="21"/>
        </w:rPr>
        <w:t>体外诊断试剂注册管理办法</w:t>
      </w:r>
    </w:p>
    <w:p w:rsidR="001F30DC" w:rsidRPr="001F30DC" w:rsidRDefault="001F30DC" w:rsidP="001F30DC">
      <w:pPr>
        <w:widowControl/>
        <w:wordWrap w:val="0"/>
        <w:spacing w:before="100" w:beforeAutospacing="1" w:after="100" w:afterAutospacing="1" w:line="480" w:lineRule="auto"/>
        <w:jc w:val="center"/>
        <w:rPr>
          <w:rFonts w:ascii="ˎ̥" w:eastAsia="宋体" w:hAnsi="ˎ̥" w:cs="Arial" w:hint="eastAsia"/>
          <w:color w:val="000000"/>
          <w:kern w:val="0"/>
          <w:szCs w:val="21"/>
        </w:rPr>
      </w:pPr>
      <w:r w:rsidRPr="001F30DC">
        <w:rPr>
          <w:rFonts w:ascii="ˎ̥" w:eastAsia="宋体" w:hAnsi="ˎ̥" w:cs="Arial"/>
          <w:color w:val="000000"/>
          <w:kern w:val="0"/>
          <w:szCs w:val="21"/>
        </w:rPr>
        <w:t>第一章　总　则</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第一条　为规范体外诊断试剂的注册与备案管理，保证体外诊断试剂的安全、有效，根据《医疗器械监督管理条例》，制定本办法。</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第二条　在中华人民共和国境内销售、使用的体外诊断试剂，应当按照本办法的规定申请注册或者办理备案。</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第三条　本办法所称体外诊断试剂，是指按医疗器械管理的体外诊断试剂，包括在疾病的预测、预防、诊断、治疗监测、预后观察和健康状态评价的过程中，用于人体样本体外检测的试剂、试剂盒、校准品、</w:t>
      </w:r>
      <w:proofErr w:type="gramStart"/>
      <w:r w:rsidRPr="001F30DC">
        <w:rPr>
          <w:rFonts w:ascii="ˎ̥" w:eastAsia="宋体" w:hAnsi="ˎ̥" w:cs="Arial"/>
          <w:color w:val="000000"/>
          <w:kern w:val="0"/>
          <w:szCs w:val="21"/>
        </w:rPr>
        <w:t>质控品等</w:t>
      </w:r>
      <w:proofErr w:type="gramEnd"/>
      <w:r w:rsidRPr="001F30DC">
        <w:rPr>
          <w:rFonts w:ascii="ˎ̥" w:eastAsia="宋体" w:hAnsi="ˎ̥" w:cs="Arial"/>
          <w:color w:val="000000"/>
          <w:kern w:val="0"/>
          <w:szCs w:val="21"/>
        </w:rPr>
        <w:t>产品。可以单独使用，也可以与仪器、器具、设备或者系统组合使用。</w:t>
      </w:r>
      <w:r w:rsidRPr="001F30DC">
        <w:rPr>
          <w:rFonts w:ascii="ˎ̥" w:eastAsia="宋体" w:hAnsi="ˎ̥" w:cs="Arial"/>
          <w:color w:val="000000"/>
          <w:kern w:val="0"/>
          <w:sz w:val="18"/>
          <w:szCs w:val="18"/>
        </w:rPr>
        <w:br/>
      </w:r>
      <w:r w:rsidRPr="001F30DC">
        <w:rPr>
          <w:rFonts w:ascii="ˎ̥" w:eastAsia="宋体" w:hAnsi="ˎ̥" w:cs="Arial"/>
          <w:color w:val="000000"/>
          <w:kern w:val="0"/>
          <w:szCs w:val="21"/>
        </w:rPr>
        <w:lastRenderedPageBreak/>
        <w:t xml:space="preserve">　　按照药品管理的用于血源筛查的体外诊断试剂和采用放射性核素标记的体外诊断试剂，不属于本办法管理范围。</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第四条　体外诊断试剂注册是食品药品监督管理部门根据注册申请人的申请，依照法定程序，对其拟上市体外诊断试剂的安全性、有效性研究及其结果进行系统评价，以决定是否同意其申请的过程。</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体外诊断试剂备案是备案人向食品药品监督管理部门提交备案资料，食品药品监督管理部门对提交的备案资料存档备查。</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第五条　体外诊断试剂注册与备案应当遵循公开、公平、公正的原则。</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第六条　第一类体外诊断试剂实行备案管理，第二类、第三类体外诊断试剂实行注册管理。</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境内第一类体外诊断试剂备案，备案人向设区的市级食品药品监督管理部门提交备案资料。</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境内第二类体外诊断试剂由省、自治区、直辖市食品药品监督管理部门审查，批准后发给医疗器械注册证。</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境内第三类体外诊断试剂由国家食品药品监督管理总局审查，批准后发给医疗器械注册证。</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进口第一类体外诊断试剂备案，备案人向国家食品药品监督管理总局提交备案资料。</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进口第二类、第三类体外诊断试剂由国家食品药品监督管理总局审查，批准后发给医疗器械注册证。</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香港、澳门、台湾地区体外诊断试剂的注册、备案，参照进口体外诊断试剂办理。</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第七条　体外诊断试剂注册人、备案人以自己名义把产品推向市场，对产品负法律责任。</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第八条　食品药品监督管理部门依法及时公布体外诊断试剂注册、备案相关信息。申请人可以查询审批进度和结果，公众可以查阅审批结果。</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lastRenderedPageBreak/>
        <w:t xml:space="preserve">　　第九条　国家鼓励体外诊断试剂的研究与创新，对创新体外诊断试剂实行特别审批，促进体外诊断试剂新技术的推广与应用，推动医疗器械产业的发展。</w:t>
      </w:r>
    </w:p>
    <w:p w:rsidR="001F30DC" w:rsidRPr="001F30DC" w:rsidRDefault="001F30DC" w:rsidP="001F30DC">
      <w:pPr>
        <w:widowControl/>
        <w:wordWrap w:val="0"/>
        <w:spacing w:before="100" w:beforeAutospacing="1" w:after="100" w:afterAutospacing="1" w:line="480" w:lineRule="auto"/>
        <w:jc w:val="center"/>
        <w:rPr>
          <w:rFonts w:ascii="ˎ̥" w:eastAsia="宋体" w:hAnsi="ˎ̥" w:cs="Arial" w:hint="eastAsia"/>
          <w:color w:val="000000"/>
          <w:kern w:val="0"/>
          <w:szCs w:val="21"/>
        </w:rPr>
      </w:pPr>
      <w:r w:rsidRPr="001F30DC">
        <w:rPr>
          <w:rFonts w:ascii="ˎ̥" w:eastAsia="宋体" w:hAnsi="ˎ̥" w:cs="Arial"/>
          <w:color w:val="000000"/>
          <w:kern w:val="0"/>
          <w:szCs w:val="21"/>
        </w:rPr>
        <w:t>第二章　基本要求</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第十条　体外诊断试剂注册申请人和备案人应当建立与产品研制、生产有关的质量管理体系，并保持有效运行。</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按照创新医疗器械特别审批程序审批的境内体外诊断试剂申请注册时，样品委托其他企业生产的，应当委托具有相应生产范围的医疗器械生产企业；不属于按照创新医疗器械特别审批程序审批的境内体外诊断试剂申请注册时，样品不得委托其他企业生产。</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第十一条　办理体外诊断试剂注册或者备案事务的人员应当具有相应的专业知识，熟悉医疗器械注册或者备案管理的法律、法规、规章和技术要求。</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第十二条　体外诊断试剂产品研制包括：主要原材料的选择、制备，产品生产工艺的确定，产品技术要求的拟订，产品稳定性研究，阳性判断</w:t>
      </w:r>
      <w:proofErr w:type="gramStart"/>
      <w:r w:rsidRPr="001F30DC">
        <w:rPr>
          <w:rFonts w:ascii="ˎ̥" w:eastAsia="宋体" w:hAnsi="ˎ̥" w:cs="Arial"/>
          <w:color w:val="000000"/>
          <w:kern w:val="0"/>
          <w:szCs w:val="21"/>
        </w:rPr>
        <w:t>值或者</w:t>
      </w:r>
      <w:proofErr w:type="gramEnd"/>
      <w:r w:rsidRPr="001F30DC">
        <w:rPr>
          <w:rFonts w:ascii="ˎ̥" w:eastAsia="宋体" w:hAnsi="ˎ̥" w:cs="Arial"/>
          <w:color w:val="000000"/>
          <w:kern w:val="0"/>
          <w:szCs w:val="21"/>
        </w:rPr>
        <w:t>参考区间确定，产品分析性能评估，临床评价等相关工作。</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申请人或者备案人可以参考相关技术指导原则进行产品研制，也可以采用不同的实验方法或者技术手段，但应当说明其合理性。</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第十三条　申请人或者备案人申请注册或者办理备案，应当遵循体外诊断试剂安全有效的各项要求，保证研制过程规范，所有数据真实、完整和</w:t>
      </w:r>
      <w:proofErr w:type="gramStart"/>
      <w:r w:rsidRPr="001F30DC">
        <w:rPr>
          <w:rFonts w:ascii="ˎ̥" w:eastAsia="宋体" w:hAnsi="ˎ̥" w:cs="Arial"/>
          <w:color w:val="000000"/>
          <w:kern w:val="0"/>
          <w:szCs w:val="21"/>
        </w:rPr>
        <w:t>可</w:t>
      </w:r>
      <w:proofErr w:type="gramEnd"/>
      <w:r w:rsidRPr="001F30DC">
        <w:rPr>
          <w:rFonts w:ascii="ˎ̥" w:eastAsia="宋体" w:hAnsi="ˎ̥" w:cs="Arial"/>
          <w:color w:val="000000"/>
          <w:kern w:val="0"/>
          <w:szCs w:val="21"/>
        </w:rPr>
        <w:t>溯源。</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第十四条　申请注册或者办理备案的资料应当使用中文。根据外文资料翻译的，应当同时提供原文。引用未公开发表的文献资料时，应当提供资料所有者许可使用的证明文件。</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申请人、备案人对资料的真实性负责。</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lastRenderedPageBreak/>
        <w:t xml:space="preserve">　　第十五条　申请注册或者办理备案的进口体外诊断试剂，应当在申请人或者备案人注册地或者生产地址所在国家（地区）已获准上市销售。</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申请人或者备案人注册地或者生产地址所在国家（地区）未将该产品作为医疗器械管理的，申请人或者备案人需提供相关证明文件，包括注册地或者生产地址所在国家（地区）准许该产品上市销售的证明文件。</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第十六条　境外申请人或者备案人应当通过其在中国境内设立的代表机构或者指定中国境内的企业法人作为代理人，配合境外申请人或者备案人开展相关工作。</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代理人除办理体外诊断试剂注册或者备案事宜外，还应当承担以下责任：</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（一）与相应食品药品监督管理部门、境外申请人或者备案人的联络；</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（二）向申请人或者备案人如实、准确传达相关的法规和技术要求；</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（三）收集上市后体外诊断试剂不良事件信息并反馈境外注册人或者备案人，同时向相应的食品药品监督管理部门报告；</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（四）协调体外诊断试剂上市后的产品召回工作，并向相应的食品药品监督管理部门报告；</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（五）其他涉及产品质量和售后服务的连带责任。</w:t>
      </w:r>
    </w:p>
    <w:p w:rsidR="001F30DC" w:rsidRPr="001F30DC" w:rsidRDefault="001F30DC" w:rsidP="001F30DC">
      <w:pPr>
        <w:widowControl/>
        <w:wordWrap w:val="0"/>
        <w:spacing w:before="100" w:beforeAutospacing="1" w:after="100" w:afterAutospacing="1" w:line="480" w:lineRule="auto"/>
        <w:jc w:val="center"/>
        <w:rPr>
          <w:rFonts w:ascii="ˎ̥" w:eastAsia="宋体" w:hAnsi="ˎ̥" w:cs="Arial" w:hint="eastAsia"/>
          <w:color w:val="000000"/>
          <w:kern w:val="0"/>
          <w:szCs w:val="21"/>
        </w:rPr>
      </w:pPr>
      <w:r w:rsidRPr="001F30DC">
        <w:rPr>
          <w:rFonts w:ascii="ˎ̥" w:eastAsia="宋体" w:hAnsi="ˎ̥" w:cs="Arial"/>
          <w:color w:val="000000"/>
          <w:kern w:val="0"/>
          <w:szCs w:val="21"/>
        </w:rPr>
        <w:t>第三章　产品的分类与命名</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第十七条　根据产品风险程度由低到高，体外诊断试剂分为第一类、第二类、第三类产品。</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（一）第一类产品</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w:t>
      </w:r>
      <w:r w:rsidRPr="001F30DC">
        <w:rPr>
          <w:rFonts w:ascii="ˎ̥" w:eastAsia="宋体" w:hAnsi="ˎ̥" w:cs="Arial"/>
          <w:color w:val="000000"/>
          <w:kern w:val="0"/>
          <w:szCs w:val="21"/>
        </w:rPr>
        <w:t>1.</w:t>
      </w:r>
      <w:r w:rsidRPr="001F30DC">
        <w:rPr>
          <w:rFonts w:ascii="ˎ̥" w:eastAsia="宋体" w:hAnsi="ˎ̥" w:cs="Arial"/>
          <w:color w:val="000000"/>
          <w:kern w:val="0"/>
          <w:szCs w:val="21"/>
        </w:rPr>
        <w:t>微生物培养基（不用于微生物鉴别和药敏试验）；</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w:t>
      </w:r>
      <w:r w:rsidRPr="001F30DC">
        <w:rPr>
          <w:rFonts w:ascii="ˎ̥" w:eastAsia="宋体" w:hAnsi="ˎ̥" w:cs="Arial"/>
          <w:color w:val="000000"/>
          <w:kern w:val="0"/>
          <w:szCs w:val="21"/>
        </w:rPr>
        <w:t>2.</w:t>
      </w:r>
      <w:r w:rsidRPr="001F30DC">
        <w:rPr>
          <w:rFonts w:ascii="ˎ̥" w:eastAsia="宋体" w:hAnsi="ˎ̥" w:cs="Arial"/>
          <w:color w:val="000000"/>
          <w:kern w:val="0"/>
          <w:szCs w:val="21"/>
        </w:rPr>
        <w:t>样本处理用产品，如溶血剂、稀释液、染色液等。</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（二）第二类产品</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除已明确为第一类、第三类的产品，其他为第二类产品，主要包括：</w:t>
      </w:r>
      <w:r w:rsidRPr="001F30DC">
        <w:rPr>
          <w:rFonts w:ascii="ˎ̥" w:eastAsia="宋体" w:hAnsi="ˎ̥" w:cs="Arial"/>
          <w:color w:val="000000"/>
          <w:kern w:val="0"/>
          <w:sz w:val="18"/>
          <w:szCs w:val="18"/>
        </w:rPr>
        <w:br/>
      </w:r>
      <w:r w:rsidRPr="001F30DC">
        <w:rPr>
          <w:rFonts w:ascii="ˎ̥" w:eastAsia="宋体" w:hAnsi="ˎ̥" w:cs="Arial"/>
          <w:color w:val="000000"/>
          <w:kern w:val="0"/>
          <w:szCs w:val="21"/>
        </w:rPr>
        <w:lastRenderedPageBreak/>
        <w:t xml:space="preserve">　　</w:t>
      </w:r>
      <w:r w:rsidRPr="001F30DC">
        <w:rPr>
          <w:rFonts w:ascii="ˎ̥" w:eastAsia="宋体" w:hAnsi="ˎ̥" w:cs="Arial"/>
          <w:color w:val="000000"/>
          <w:kern w:val="0"/>
          <w:szCs w:val="21"/>
        </w:rPr>
        <w:t>1.</w:t>
      </w:r>
      <w:r w:rsidRPr="001F30DC">
        <w:rPr>
          <w:rFonts w:ascii="ˎ̥" w:eastAsia="宋体" w:hAnsi="ˎ̥" w:cs="Arial"/>
          <w:color w:val="000000"/>
          <w:kern w:val="0"/>
          <w:szCs w:val="21"/>
        </w:rPr>
        <w:t>用于蛋白质检测的试剂；</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w:t>
      </w:r>
      <w:r w:rsidRPr="001F30DC">
        <w:rPr>
          <w:rFonts w:ascii="ˎ̥" w:eastAsia="宋体" w:hAnsi="ˎ̥" w:cs="Arial"/>
          <w:color w:val="000000"/>
          <w:kern w:val="0"/>
          <w:szCs w:val="21"/>
        </w:rPr>
        <w:t>2.</w:t>
      </w:r>
      <w:r w:rsidRPr="001F30DC">
        <w:rPr>
          <w:rFonts w:ascii="ˎ̥" w:eastAsia="宋体" w:hAnsi="ˎ̥" w:cs="Arial"/>
          <w:color w:val="000000"/>
          <w:kern w:val="0"/>
          <w:szCs w:val="21"/>
        </w:rPr>
        <w:t>用于糖类检测的试剂；</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w:t>
      </w:r>
      <w:r w:rsidRPr="001F30DC">
        <w:rPr>
          <w:rFonts w:ascii="ˎ̥" w:eastAsia="宋体" w:hAnsi="ˎ̥" w:cs="Arial"/>
          <w:color w:val="000000"/>
          <w:kern w:val="0"/>
          <w:szCs w:val="21"/>
        </w:rPr>
        <w:t>3.</w:t>
      </w:r>
      <w:r w:rsidRPr="001F30DC">
        <w:rPr>
          <w:rFonts w:ascii="ˎ̥" w:eastAsia="宋体" w:hAnsi="ˎ̥" w:cs="Arial"/>
          <w:color w:val="000000"/>
          <w:kern w:val="0"/>
          <w:szCs w:val="21"/>
        </w:rPr>
        <w:t>用于激素检测的试剂；</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w:t>
      </w:r>
      <w:r w:rsidRPr="001F30DC">
        <w:rPr>
          <w:rFonts w:ascii="ˎ̥" w:eastAsia="宋体" w:hAnsi="ˎ̥" w:cs="Arial"/>
          <w:color w:val="000000"/>
          <w:kern w:val="0"/>
          <w:szCs w:val="21"/>
        </w:rPr>
        <w:t>4.</w:t>
      </w:r>
      <w:r w:rsidRPr="001F30DC">
        <w:rPr>
          <w:rFonts w:ascii="ˎ̥" w:eastAsia="宋体" w:hAnsi="ˎ̥" w:cs="Arial"/>
          <w:color w:val="000000"/>
          <w:kern w:val="0"/>
          <w:szCs w:val="21"/>
        </w:rPr>
        <w:t>用于酶类检测的试剂；</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w:t>
      </w:r>
      <w:r w:rsidRPr="001F30DC">
        <w:rPr>
          <w:rFonts w:ascii="ˎ̥" w:eastAsia="宋体" w:hAnsi="ˎ̥" w:cs="Arial"/>
          <w:color w:val="000000"/>
          <w:kern w:val="0"/>
          <w:szCs w:val="21"/>
        </w:rPr>
        <w:t>5.</w:t>
      </w:r>
      <w:r w:rsidRPr="001F30DC">
        <w:rPr>
          <w:rFonts w:ascii="ˎ̥" w:eastAsia="宋体" w:hAnsi="ˎ̥" w:cs="Arial"/>
          <w:color w:val="000000"/>
          <w:kern w:val="0"/>
          <w:szCs w:val="21"/>
        </w:rPr>
        <w:t>用于酯类检测的试剂；</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w:t>
      </w:r>
      <w:r w:rsidRPr="001F30DC">
        <w:rPr>
          <w:rFonts w:ascii="ˎ̥" w:eastAsia="宋体" w:hAnsi="ˎ̥" w:cs="Arial"/>
          <w:color w:val="000000"/>
          <w:kern w:val="0"/>
          <w:szCs w:val="21"/>
        </w:rPr>
        <w:t>6.</w:t>
      </w:r>
      <w:r w:rsidRPr="001F30DC">
        <w:rPr>
          <w:rFonts w:ascii="ˎ̥" w:eastAsia="宋体" w:hAnsi="ˎ̥" w:cs="Arial"/>
          <w:color w:val="000000"/>
          <w:kern w:val="0"/>
          <w:szCs w:val="21"/>
        </w:rPr>
        <w:t>用于维生素检测的试剂；</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w:t>
      </w:r>
      <w:r w:rsidRPr="001F30DC">
        <w:rPr>
          <w:rFonts w:ascii="ˎ̥" w:eastAsia="宋体" w:hAnsi="ˎ̥" w:cs="Arial"/>
          <w:color w:val="000000"/>
          <w:kern w:val="0"/>
          <w:szCs w:val="21"/>
        </w:rPr>
        <w:t>7.</w:t>
      </w:r>
      <w:r w:rsidRPr="001F30DC">
        <w:rPr>
          <w:rFonts w:ascii="ˎ̥" w:eastAsia="宋体" w:hAnsi="ˎ̥" w:cs="Arial"/>
          <w:color w:val="000000"/>
          <w:kern w:val="0"/>
          <w:szCs w:val="21"/>
        </w:rPr>
        <w:t>用于无机离子检测的试剂；</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w:t>
      </w:r>
      <w:r w:rsidRPr="001F30DC">
        <w:rPr>
          <w:rFonts w:ascii="ˎ̥" w:eastAsia="宋体" w:hAnsi="ˎ̥" w:cs="Arial"/>
          <w:color w:val="000000"/>
          <w:kern w:val="0"/>
          <w:szCs w:val="21"/>
        </w:rPr>
        <w:t>8.</w:t>
      </w:r>
      <w:r w:rsidRPr="001F30DC">
        <w:rPr>
          <w:rFonts w:ascii="ˎ̥" w:eastAsia="宋体" w:hAnsi="ˎ̥" w:cs="Arial"/>
          <w:color w:val="000000"/>
          <w:kern w:val="0"/>
          <w:szCs w:val="21"/>
        </w:rPr>
        <w:t>用于药物及药物代谢物检测的试剂；</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w:t>
      </w:r>
      <w:r w:rsidRPr="001F30DC">
        <w:rPr>
          <w:rFonts w:ascii="ˎ̥" w:eastAsia="宋体" w:hAnsi="ˎ̥" w:cs="Arial"/>
          <w:color w:val="000000"/>
          <w:kern w:val="0"/>
          <w:szCs w:val="21"/>
        </w:rPr>
        <w:t>9.</w:t>
      </w:r>
      <w:r w:rsidRPr="001F30DC">
        <w:rPr>
          <w:rFonts w:ascii="ˎ̥" w:eastAsia="宋体" w:hAnsi="ˎ̥" w:cs="Arial"/>
          <w:color w:val="000000"/>
          <w:kern w:val="0"/>
          <w:szCs w:val="21"/>
        </w:rPr>
        <w:t>用于自身抗体检测的试剂；</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w:t>
      </w:r>
      <w:r w:rsidRPr="001F30DC">
        <w:rPr>
          <w:rFonts w:ascii="ˎ̥" w:eastAsia="宋体" w:hAnsi="ˎ̥" w:cs="Arial"/>
          <w:color w:val="000000"/>
          <w:kern w:val="0"/>
          <w:szCs w:val="21"/>
        </w:rPr>
        <w:t>10.</w:t>
      </w:r>
      <w:r w:rsidRPr="001F30DC">
        <w:rPr>
          <w:rFonts w:ascii="ˎ̥" w:eastAsia="宋体" w:hAnsi="ˎ̥" w:cs="Arial"/>
          <w:color w:val="000000"/>
          <w:kern w:val="0"/>
          <w:szCs w:val="21"/>
        </w:rPr>
        <w:t>用于微生物鉴别或者药敏试验的试剂；</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w:t>
      </w:r>
      <w:r w:rsidRPr="001F30DC">
        <w:rPr>
          <w:rFonts w:ascii="ˎ̥" w:eastAsia="宋体" w:hAnsi="ˎ̥" w:cs="Arial"/>
          <w:color w:val="000000"/>
          <w:kern w:val="0"/>
          <w:szCs w:val="21"/>
        </w:rPr>
        <w:t>11.</w:t>
      </w:r>
      <w:r w:rsidRPr="001F30DC">
        <w:rPr>
          <w:rFonts w:ascii="ˎ̥" w:eastAsia="宋体" w:hAnsi="ˎ̥" w:cs="Arial"/>
          <w:color w:val="000000"/>
          <w:kern w:val="0"/>
          <w:szCs w:val="21"/>
        </w:rPr>
        <w:t>用于其他生理、生化或者免疫功能指标检测的试剂。</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（三）第三类产品</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w:t>
      </w:r>
      <w:r w:rsidRPr="001F30DC">
        <w:rPr>
          <w:rFonts w:ascii="ˎ̥" w:eastAsia="宋体" w:hAnsi="ˎ̥" w:cs="Arial"/>
          <w:color w:val="000000"/>
          <w:kern w:val="0"/>
          <w:szCs w:val="21"/>
        </w:rPr>
        <w:t>1.</w:t>
      </w:r>
      <w:r w:rsidRPr="001F30DC">
        <w:rPr>
          <w:rFonts w:ascii="ˎ̥" w:eastAsia="宋体" w:hAnsi="ˎ̥" w:cs="Arial"/>
          <w:color w:val="000000"/>
          <w:kern w:val="0"/>
          <w:szCs w:val="21"/>
        </w:rPr>
        <w:t>与致病性病原体抗原、抗体以及核酸等检测相关的试剂；</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w:t>
      </w:r>
      <w:r w:rsidRPr="001F30DC">
        <w:rPr>
          <w:rFonts w:ascii="ˎ̥" w:eastAsia="宋体" w:hAnsi="ˎ̥" w:cs="Arial"/>
          <w:color w:val="000000"/>
          <w:kern w:val="0"/>
          <w:szCs w:val="21"/>
        </w:rPr>
        <w:t>2.</w:t>
      </w:r>
      <w:r w:rsidRPr="001F30DC">
        <w:rPr>
          <w:rFonts w:ascii="ˎ̥" w:eastAsia="宋体" w:hAnsi="ˎ̥" w:cs="Arial"/>
          <w:color w:val="000000"/>
          <w:kern w:val="0"/>
          <w:szCs w:val="21"/>
        </w:rPr>
        <w:t>与血型、组织配型相关的试剂；</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w:t>
      </w:r>
      <w:r w:rsidRPr="001F30DC">
        <w:rPr>
          <w:rFonts w:ascii="ˎ̥" w:eastAsia="宋体" w:hAnsi="ˎ̥" w:cs="Arial"/>
          <w:color w:val="000000"/>
          <w:kern w:val="0"/>
          <w:szCs w:val="21"/>
        </w:rPr>
        <w:t>3.</w:t>
      </w:r>
      <w:r w:rsidRPr="001F30DC">
        <w:rPr>
          <w:rFonts w:ascii="ˎ̥" w:eastAsia="宋体" w:hAnsi="ˎ̥" w:cs="Arial"/>
          <w:color w:val="000000"/>
          <w:kern w:val="0"/>
          <w:szCs w:val="21"/>
        </w:rPr>
        <w:t>与人类基因检测相关的试剂；</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w:t>
      </w:r>
      <w:r w:rsidRPr="001F30DC">
        <w:rPr>
          <w:rFonts w:ascii="ˎ̥" w:eastAsia="宋体" w:hAnsi="ˎ̥" w:cs="Arial"/>
          <w:color w:val="000000"/>
          <w:kern w:val="0"/>
          <w:szCs w:val="21"/>
        </w:rPr>
        <w:t>4.</w:t>
      </w:r>
      <w:r w:rsidRPr="001F30DC">
        <w:rPr>
          <w:rFonts w:ascii="ˎ̥" w:eastAsia="宋体" w:hAnsi="ˎ̥" w:cs="Arial"/>
          <w:color w:val="000000"/>
          <w:kern w:val="0"/>
          <w:szCs w:val="21"/>
        </w:rPr>
        <w:t>与遗传性疾病相关的试剂；</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w:t>
      </w:r>
      <w:r w:rsidRPr="001F30DC">
        <w:rPr>
          <w:rFonts w:ascii="ˎ̥" w:eastAsia="宋体" w:hAnsi="ˎ̥" w:cs="Arial"/>
          <w:color w:val="000000"/>
          <w:kern w:val="0"/>
          <w:szCs w:val="21"/>
        </w:rPr>
        <w:t>5.</w:t>
      </w:r>
      <w:r w:rsidRPr="001F30DC">
        <w:rPr>
          <w:rFonts w:ascii="ˎ̥" w:eastAsia="宋体" w:hAnsi="ˎ̥" w:cs="Arial"/>
          <w:color w:val="000000"/>
          <w:kern w:val="0"/>
          <w:szCs w:val="21"/>
        </w:rPr>
        <w:t>与麻醉药品、精神药品、医疗用毒性药品检测相关的试剂；</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w:t>
      </w:r>
      <w:r w:rsidRPr="001F30DC">
        <w:rPr>
          <w:rFonts w:ascii="ˎ̥" w:eastAsia="宋体" w:hAnsi="ˎ̥" w:cs="Arial"/>
          <w:color w:val="000000"/>
          <w:kern w:val="0"/>
          <w:szCs w:val="21"/>
        </w:rPr>
        <w:t>6.</w:t>
      </w:r>
      <w:r w:rsidRPr="001F30DC">
        <w:rPr>
          <w:rFonts w:ascii="ˎ̥" w:eastAsia="宋体" w:hAnsi="ˎ̥" w:cs="Arial"/>
          <w:color w:val="000000"/>
          <w:kern w:val="0"/>
          <w:szCs w:val="21"/>
        </w:rPr>
        <w:t>与治疗药物作用靶点检测相关的试剂</w:t>
      </w:r>
      <w:r w:rsidRPr="001F30DC">
        <w:rPr>
          <w:rFonts w:ascii="ˎ̥" w:eastAsia="宋体" w:hAnsi="ˎ̥" w:cs="Arial"/>
          <w:color w:val="000000"/>
          <w:kern w:val="0"/>
          <w:szCs w:val="21"/>
        </w:rPr>
        <w:t>;</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w:t>
      </w:r>
      <w:r w:rsidRPr="001F30DC">
        <w:rPr>
          <w:rFonts w:ascii="ˎ̥" w:eastAsia="宋体" w:hAnsi="ˎ̥" w:cs="Arial"/>
          <w:color w:val="000000"/>
          <w:kern w:val="0"/>
          <w:szCs w:val="21"/>
        </w:rPr>
        <w:t>7.</w:t>
      </w:r>
      <w:r w:rsidRPr="001F30DC">
        <w:rPr>
          <w:rFonts w:ascii="ˎ̥" w:eastAsia="宋体" w:hAnsi="ˎ̥" w:cs="Arial"/>
          <w:color w:val="000000"/>
          <w:kern w:val="0"/>
          <w:szCs w:val="21"/>
        </w:rPr>
        <w:t>与肿瘤标志物检测相关的试剂</w:t>
      </w:r>
      <w:r w:rsidRPr="001F30DC">
        <w:rPr>
          <w:rFonts w:ascii="ˎ̥" w:eastAsia="宋体" w:hAnsi="ˎ̥" w:cs="Arial"/>
          <w:color w:val="000000"/>
          <w:kern w:val="0"/>
          <w:szCs w:val="21"/>
        </w:rPr>
        <w:t>;</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w:t>
      </w:r>
      <w:r w:rsidRPr="001F30DC">
        <w:rPr>
          <w:rFonts w:ascii="ˎ̥" w:eastAsia="宋体" w:hAnsi="ˎ̥" w:cs="Arial"/>
          <w:color w:val="000000"/>
          <w:kern w:val="0"/>
          <w:szCs w:val="21"/>
        </w:rPr>
        <w:t>8.</w:t>
      </w:r>
      <w:r w:rsidRPr="001F30DC">
        <w:rPr>
          <w:rFonts w:ascii="ˎ̥" w:eastAsia="宋体" w:hAnsi="ˎ̥" w:cs="Arial"/>
          <w:color w:val="000000"/>
          <w:kern w:val="0"/>
          <w:szCs w:val="21"/>
        </w:rPr>
        <w:t>与变态反应（过敏原）相关的试剂。</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lastRenderedPageBreak/>
        <w:t xml:space="preserve">　　第十八条　第十七条所列的第二类产品如用于肿瘤的诊断、辅助诊断、治疗过程的监测，或者用于遗传性疾病的诊断、辅助诊断等，按第三类产品注册管理。用于药物及药物代谢物检测的试剂，如该药物属于麻醉药品、精神药品或者医疗用毒性药品范围的，按第三类产品注册管理。</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第十九条　校准品、</w:t>
      </w:r>
      <w:proofErr w:type="gramStart"/>
      <w:r w:rsidRPr="001F30DC">
        <w:rPr>
          <w:rFonts w:ascii="ˎ̥" w:eastAsia="宋体" w:hAnsi="ˎ̥" w:cs="Arial"/>
          <w:color w:val="000000"/>
          <w:kern w:val="0"/>
          <w:szCs w:val="21"/>
        </w:rPr>
        <w:t>质控品可以</w:t>
      </w:r>
      <w:proofErr w:type="gramEnd"/>
      <w:r w:rsidRPr="001F30DC">
        <w:rPr>
          <w:rFonts w:ascii="ˎ̥" w:eastAsia="宋体" w:hAnsi="ˎ̥" w:cs="Arial"/>
          <w:color w:val="000000"/>
          <w:kern w:val="0"/>
          <w:szCs w:val="21"/>
        </w:rPr>
        <w:t>与配合使用的体外诊断试剂合并申请注册，也可以单独申请注册。</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与第一类体外诊断试剂配合使用的校准品、质控品，按第二类产品进行注册；与第二类、第三类体外诊断试剂配合使用的校准品、</w:t>
      </w:r>
      <w:proofErr w:type="gramStart"/>
      <w:r w:rsidRPr="001F30DC">
        <w:rPr>
          <w:rFonts w:ascii="ˎ̥" w:eastAsia="宋体" w:hAnsi="ˎ̥" w:cs="Arial"/>
          <w:color w:val="000000"/>
          <w:kern w:val="0"/>
          <w:szCs w:val="21"/>
        </w:rPr>
        <w:t>质控品单独</w:t>
      </w:r>
      <w:proofErr w:type="gramEnd"/>
      <w:r w:rsidRPr="001F30DC">
        <w:rPr>
          <w:rFonts w:ascii="ˎ̥" w:eastAsia="宋体" w:hAnsi="ˎ̥" w:cs="Arial"/>
          <w:color w:val="000000"/>
          <w:kern w:val="0"/>
          <w:szCs w:val="21"/>
        </w:rPr>
        <w:t>申请注册时，按与试剂相同的类别进行注册；多项校准品、质控品，按其中的高类别进行注册。</w:t>
      </w:r>
    </w:p>
    <w:p w:rsidR="00776A3C" w:rsidRDefault="001F30DC" w:rsidP="00776A3C">
      <w:pPr>
        <w:widowControl/>
        <w:wordWrap w:val="0"/>
        <w:spacing w:before="100" w:beforeAutospacing="1" w:after="100" w:afterAutospacing="1" w:line="480" w:lineRule="auto"/>
        <w:ind w:firstLine="405"/>
        <w:jc w:val="left"/>
        <w:rPr>
          <w:rFonts w:ascii="ˎ̥" w:eastAsia="宋体" w:hAnsi="ˎ̥" w:cs="Arial" w:hint="eastAsia"/>
          <w:color w:val="000000"/>
          <w:kern w:val="0"/>
          <w:szCs w:val="21"/>
        </w:rPr>
      </w:pPr>
      <w:bookmarkStart w:id="0" w:name="OLE_LINK2"/>
      <w:bookmarkStart w:id="1" w:name="OLE_LINK3"/>
      <w:r w:rsidRPr="001F30DC">
        <w:rPr>
          <w:rFonts w:ascii="ˎ̥" w:eastAsia="宋体" w:hAnsi="ˎ̥" w:cs="Arial"/>
          <w:color w:val="000000"/>
          <w:kern w:val="0"/>
          <w:szCs w:val="21"/>
        </w:rPr>
        <w:t xml:space="preserve">第二十条　</w:t>
      </w:r>
      <w:r w:rsidR="00776A3C" w:rsidRPr="00776A3C">
        <w:rPr>
          <w:rFonts w:ascii="ˎ̥" w:eastAsia="宋体" w:hAnsi="ˎ̥" w:cs="Arial"/>
          <w:color w:val="000000"/>
          <w:kern w:val="0"/>
          <w:szCs w:val="21"/>
        </w:rPr>
        <w:t>本办法第十七条、第十八条、第十九条所述的体外诊断试剂分类规则，用于指导体外诊断试剂分类目录的制定和调整，以及确定新的体外诊断试剂的管理类别。国家食品药品监督管理总局可以根据体外诊断试剂的风险变化，对分类规则进行调整。</w:t>
      </w:r>
      <w:bookmarkEnd w:id="0"/>
      <w:bookmarkEnd w:id="1"/>
    </w:p>
    <w:p w:rsidR="001F30DC" w:rsidRPr="001F30DC" w:rsidRDefault="001F30DC" w:rsidP="00776A3C">
      <w:pPr>
        <w:widowControl/>
        <w:wordWrap w:val="0"/>
        <w:spacing w:before="100" w:beforeAutospacing="1" w:after="100" w:afterAutospacing="1" w:line="480" w:lineRule="auto"/>
        <w:ind w:firstLine="405"/>
        <w:jc w:val="left"/>
        <w:rPr>
          <w:rFonts w:ascii="ˎ̥" w:eastAsia="宋体" w:hAnsi="ˎ̥" w:cs="Arial" w:hint="eastAsia"/>
          <w:color w:val="000000"/>
          <w:kern w:val="0"/>
          <w:szCs w:val="21"/>
        </w:rPr>
      </w:pPr>
      <w:r w:rsidRPr="001F30DC">
        <w:rPr>
          <w:rFonts w:ascii="ˎ̥" w:eastAsia="宋体" w:hAnsi="ˎ̥" w:cs="Arial"/>
          <w:color w:val="000000"/>
          <w:kern w:val="0"/>
          <w:szCs w:val="21"/>
        </w:rPr>
        <w:t>对新研制的尚未列入体外诊断试剂分类目录的体外诊断试剂，申请人可以直接申请第三类体外诊断试剂产品注册，也可以依据分类规则判断产品类别向国家食品药品监督管理总局申请类别确认后，申请产品注册或者办理产品备案。</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直接申请第三类体外诊断试剂注册的，国家食品药品监督管理总局按照风险程度确定类别。境内体外诊断试剂确定为第二类的，国家食品药品监督管理总局将申报资料转申请人所在地省、自治区、直辖市食品药品监督管理部门审评审批；境内体外诊断试剂确定为第一类的，国家食品药品监督管理总局将申报资料转申请人所在地设区的市级食品药品监督管理部门备案。</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第二十一条　体外诊断试剂的命名应当遵循以下原则：</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体外诊断试剂的产品名称一般可以由三部分组成。第一部分：被测物质的名称；第二部分：用途，如诊断血清、测定试剂盒、</w:t>
      </w:r>
      <w:proofErr w:type="gramStart"/>
      <w:r w:rsidRPr="001F30DC">
        <w:rPr>
          <w:rFonts w:ascii="ˎ̥" w:eastAsia="宋体" w:hAnsi="ˎ̥" w:cs="Arial"/>
          <w:color w:val="000000"/>
          <w:kern w:val="0"/>
          <w:szCs w:val="21"/>
        </w:rPr>
        <w:t>质控品等</w:t>
      </w:r>
      <w:proofErr w:type="gramEnd"/>
      <w:r w:rsidRPr="001F30DC">
        <w:rPr>
          <w:rFonts w:ascii="ˎ̥" w:eastAsia="宋体" w:hAnsi="ˎ̥" w:cs="Arial"/>
          <w:color w:val="000000"/>
          <w:kern w:val="0"/>
          <w:szCs w:val="21"/>
        </w:rPr>
        <w:t>；第三部分：方法或者原理，</w:t>
      </w:r>
      <w:proofErr w:type="gramStart"/>
      <w:r w:rsidRPr="001F30DC">
        <w:rPr>
          <w:rFonts w:ascii="ˎ̥" w:eastAsia="宋体" w:hAnsi="ˎ̥" w:cs="Arial"/>
          <w:color w:val="000000"/>
          <w:kern w:val="0"/>
          <w:szCs w:val="21"/>
        </w:rPr>
        <w:t>如酶联</w:t>
      </w:r>
      <w:proofErr w:type="gramEnd"/>
      <w:r w:rsidRPr="001F30DC">
        <w:rPr>
          <w:rFonts w:ascii="ˎ̥" w:eastAsia="宋体" w:hAnsi="ˎ̥" w:cs="Arial"/>
          <w:color w:val="000000"/>
          <w:kern w:val="0"/>
          <w:szCs w:val="21"/>
        </w:rPr>
        <w:t>免疫吸附法、胶体金法等，本部分</w:t>
      </w:r>
      <w:r w:rsidRPr="001F30DC">
        <w:rPr>
          <w:rFonts w:ascii="ˎ̥" w:eastAsia="宋体" w:hAnsi="ˎ̥" w:cs="Arial"/>
          <w:color w:val="000000"/>
          <w:kern w:val="0"/>
          <w:szCs w:val="21"/>
        </w:rPr>
        <w:lastRenderedPageBreak/>
        <w:t>应当在括号中列出。</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如果被测物组分较多或者有其他特殊情况，可以采用与产品相关的适应症名称或者其他替代名称。</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第一类产品和校准品、质控品，依据其预期用途进行命名。</w:t>
      </w:r>
    </w:p>
    <w:p w:rsidR="001F30DC" w:rsidRPr="001F30DC" w:rsidRDefault="001F30DC" w:rsidP="001F30DC">
      <w:pPr>
        <w:widowControl/>
        <w:wordWrap w:val="0"/>
        <w:spacing w:before="100" w:beforeAutospacing="1" w:after="100" w:afterAutospacing="1" w:line="480" w:lineRule="auto"/>
        <w:jc w:val="center"/>
        <w:rPr>
          <w:rFonts w:ascii="ˎ̥" w:eastAsia="宋体" w:hAnsi="ˎ̥" w:cs="Arial" w:hint="eastAsia"/>
          <w:color w:val="000000"/>
          <w:kern w:val="0"/>
          <w:szCs w:val="21"/>
        </w:rPr>
      </w:pPr>
      <w:r w:rsidRPr="001F30DC">
        <w:rPr>
          <w:rFonts w:ascii="ˎ̥" w:eastAsia="宋体" w:hAnsi="ˎ̥" w:cs="Arial"/>
          <w:color w:val="000000"/>
          <w:kern w:val="0"/>
          <w:szCs w:val="21"/>
        </w:rPr>
        <w:t>第四章　产品技术要求和注册检验</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第二十二条　申请人或者备案人应当在原材料质量和生产工艺稳定的前提下，根据产品研制、临床评价等结果，依据国家标准、行业标准及有关文献资料，拟订产品技术要求。</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产品技术要求主要包括体外诊断试剂成品的性能指标和检验方法，其中性能指标是指可进行客观判定的成品的功能性、安全性指标以及与质量控制相关的其他指标。</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第三类体外诊断试剂的产品技术要求中应当以附录形式明确主要原材料、生产工艺及半成品要求。</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第一类体外诊断试剂的产品技术要求由备案人办理备案时提交食品药品监督管理部门。第二类、第三类体外诊断试剂的产品技术要求由食品药品监督管理部门在批准注册时予以核准。</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在中国上市的体外诊断试剂应当符合经注册核准或者备案的产品技术要求。</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第二十三条　申请第二类、第三类体外诊断试剂注册，应当进行注册检验；第三类产品应当进行连续</w:t>
      </w:r>
      <w:r w:rsidRPr="001F30DC">
        <w:rPr>
          <w:rFonts w:ascii="ˎ̥" w:eastAsia="宋体" w:hAnsi="ˎ̥" w:cs="Arial"/>
          <w:color w:val="000000"/>
          <w:kern w:val="0"/>
          <w:szCs w:val="21"/>
        </w:rPr>
        <w:t>3</w:t>
      </w:r>
      <w:r w:rsidRPr="001F30DC">
        <w:rPr>
          <w:rFonts w:ascii="ˎ̥" w:eastAsia="宋体" w:hAnsi="ˎ̥" w:cs="Arial"/>
          <w:color w:val="000000"/>
          <w:kern w:val="0"/>
          <w:szCs w:val="21"/>
        </w:rPr>
        <w:t>个生产批次样品的注册检验。医疗器械检验机构应当依据产品技术要求对相关产品进行检验。</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注册检验样品的生产应当符合医疗器械质量管理体系的相关要求，注册检验合格的方可进行临床试验或者申请注册。</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办理第一类体外诊断试剂备案的，备案人可以提交产品自检报告。</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第二十四条　申请注册检验，申请人应当向检验机构提供注册检验所需要的有关技术资料、注册检验用样品、产品技术要求及标准品或者参考品。</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境内申请人的注册检验用样品由食品药品监督管理部门抽取。</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lastRenderedPageBreak/>
        <w:t xml:space="preserve">　　第二十五条　有国家标准品、参考品的产品应当使用国家标准品、参考品进行注册检验。中国食品药品检定研究院负责组织国家标准品、参考品的制备和标定工作。</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第二十六条　医疗器械检验机构应当具有医疗器械检验资质、在其承检范围内进行检验，并对申请人提交的产品技术要求进行预评价。</w:t>
      </w:r>
      <w:proofErr w:type="gramStart"/>
      <w:r w:rsidRPr="001F30DC">
        <w:rPr>
          <w:rFonts w:ascii="ˎ̥" w:eastAsia="宋体" w:hAnsi="ˎ̥" w:cs="Arial"/>
          <w:color w:val="000000"/>
          <w:kern w:val="0"/>
          <w:szCs w:val="21"/>
        </w:rPr>
        <w:t>预评价意见随注册</w:t>
      </w:r>
      <w:proofErr w:type="gramEnd"/>
      <w:r w:rsidRPr="001F30DC">
        <w:rPr>
          <w:rFonts w:ascii="ˎ̥" w:eastAsia="宋体" w:hAnsi="ˎ̥" w:cs="Arial"/>
          <w:color w:val="000000"/>
          <w:kern w:val="0"/>
          <w:szCs w:val="21"/>
        </w:rPr>
        <w:t>检验报告一同出具给申请人。</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尚未列入医疗器械检验机构承检范围的产品，由相应的注册审批部门指定有能力的检验机构进行检验。</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第二十七条　同一注册申请包括不同包装规格时，可以只进行一种包装规格产品的注册检验。</w:t>
      </w:r>
    </w:p>
    <w:p w:rsidR="001F30DC" w:rsidRPr="001F30DC" w:rsidRDefault="001F30DC" w:rsidP="001F30DC">
      <w:pPr>
        <w:widowControl/>
        <w:wordWrap w:val="0"/>
        <w:spacing w:before="100" w:beforeAutospacing="1" w:after="100" w:afterAutospacing="1" w:line="480" w:lineRule="auto"/>
        <w:jc w:val="center"/>
        <w:rPr>
          <w:rFonts w:ascii="ˎ̥" w:eastAsia="宋体" w:hAnsi="ˎ̥" w:cs="Arial" w:hint="eastAsia"/>
          <w:color w:val="000000"/>
          <w:kern w:val="0"/>
          <w:szCs w:val="21"/>
        </w:rPr>
      </w:pPr>
      <w:r w:rsidRPr="001F30DC">
        <w:rPr>
          <w:rFonts w:ascii="ˎ̥" w:eastAsia="宋体" w:hAnsi="ˎ̥" w:cs="Arial"/>
          <w:color w:val="000000"/>
          <w:kern w:val="0"/>
          <w:szCs w:val="21"/>
        </w:rPr>
        <w:t>第五章　临床评价</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第二十八条　体外诊断试剂临床评价是指申请人或者备案人通过临床文献资料、临床经验数据、临床试验等信息对产品是否满足使用要求或者预期用途进行确认的过程。</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第二十九条　临床评价资料是指申请人或者备案人进行临床评价所形成的文件。</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体外诊断试剂临床试验（包括与已上市产品进行的比较研究试验）是指在相应的临床环境中，对体外诊断试剂的临床性能进行的系统性研究。</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无需进行临床试验的体外诊断试剂，申请人或者备案人应当通过对涵盖预期用途及干扰因素的临床样本的评估、综合文献资料等非临床试验的方式对体外诊断试剂的临床性能进行评价。申请人或者备案人应当保证评价所用的临床样本具有可追溯性。</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第三十条　办理第一类体外诊断试剂备案，不需进行临床试验。申请第二类、第三类体外诊断试剂注册，应当进行临床试验。</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有下列情形之一的，可以免于进行临床试验：</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（一）反应原理明确、设计定型、生产工艺成熟，已上市的同品种体外诊断试剂临床应用多年且无严</w:t>
      </w:r>
      <w:r w:rsidRPr="001F30DC">
        <w:rPr>
          <w:rFonts w:ascii="ˎ̥" w:eastAsia="宋体" w:hAnsi="ˎ̥" w:cs="Arial"/>
          <w:color w:val="000000"/>
          <w:kern w:val="0"/>
          <w:szCs w:val="21"/>
        </w:rPr>
        <w:lastRenderedPageBreak/>
        <w:t>重不良事件记录，不改变常规用途，申请人能够提供与已上市产品等效性评价数据的；</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（二）通过对涵盖预期用途及干扰因素的临床样本的评价能够证明该体外诊断试剂安全、有效的。</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免于进行临床试验的体外诊断试剂目录由国家食品药品监督管理总局制定、调整并公布。</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第三十一条　同一注册申请包括不同包装规格时，可以只采用一种包装规格的样品进行临床评价。</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第三十二条　第三类产品申请人应当选定不少于</w:t>
      </w:r>
      <w:r w:rsidRPr="001F30DC">
        <w:rPr>
          <w:rFonts w:ascii="ˎ̥" w:eastAsia="宋体" w:hAnsi="ˎ̥" w:cs="Arial"/>
          <w:color w:val="000000"/>
          <w:kern w:val="0"/>
          <w:szCs w:val="21"/>
        </w:rPr>
        <w:t>3</w:t>
      </w:r>
      <w:r w:rsidRPr="001F30DC">
        <w:rPr>
          <w:rFonts w:ascii="ˎ̥" w:eastAsia="宋体" w:hAnsi="ˎ̥" w:cs="Arial"/>
          <w:color w:val="000000"/>
          <w:kern w:val="0"/>
          <w:szCs w:val="21"/>
        </w:rPr>
        <w:t>家（含</w:t>
      </w:r>
      <w:r w:rsidRPr="001F30DC">
        <w:rPr>
          <w:rFonts w:ascii="ˎ̥" w:eastAsia="宋体" w:hAnsi="ˎ̥" w:cs="Arial"/>
          <w:color w:val="000000"/>
          <w:kern w:val="0"/>
          <w:szCs w:val="21"/>
        </w:rPr>
        <w:t>3</w:t>
      </w:r>
      <w:r w:rsidRPr="001F30DC">
        <w:rPr>
          <w:rFonts w:ascii="ˎ̥" w:eastAsia="宋体" w:hAnsi="ˎ̥" w:cs="Arial"/>
          <w:color w:val="000000"/>
          <w:kern w:val="0"/>
          <w:szCs w:val="21"/>
        </w:rPr>
        <w:t>家）、第二类产品申请人应当选定不少于</w:t>
      </w:r>
      <w:r w:rsidRPr="001F30DC">
        <w:rPr>
          <w:rFonts w:ascii="ˎ̥" w:eastAsia="宋体" w:hAnsi="ˎ̥" w:cs="Arial"/>
          <w:color w:val="000000"/>
          <w:kern w:val="0"/>
          <w:szCs w:val="21"/>
        </w:rPr>
        <w:t>2</w:t>
      </w:r>
      <w:r w:rsidRPr="001F30DC">
        <w:rPr>
          <w:rFonts w:ascii="ˎ̥" w:eastAsia="宋体" w:hAnsi="ˎ̥" w:cs="Arial"/>
          <w:color w:val="000000"/>
          <w:kern w:val="0"/>
          <w:szCs w:val="21"/>
        </w:rPr>
        <w:t>家（含</w:t>
      </w:r>
      <w:r w:rsidRPr="001F30DC">
        <w:rPr>
          <w:rFonts w:ascii="ˎ̥" w:eastAsia="宋体" w:hAnsi="ˎ̥" w:cs="Arial"/>
          <w:color w:val="000000"/>
          <w:kern w:val="0"/>
          <w:szCs w:val="21"/>
        </w:rPr>
        <w:t>2</w:t>
      </w:r>
      <w:r w:rsidRPr="001F30DC">
        <w:rPr>
          <w:rFonts w:ascii="ˎ̥" w:eastAsia="宋体" w:hAnsi="ˎ̥" w:cs="Arial"/>
          <w:color w:val="000000"/>
          <w:kern w:val="0"/>
          <w:szCs w:val="21"/>
        </w:rPr>
        <w:t>家）取得资质的临床试验机构，按照有关规定开展临床试验。临床试验样品的生产应当符合医疗器械质量管理体系的相关要求。</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第三十三条　申请人应当与临床试验机构签订临床试验合同，参考相关技术指导原则制定并完善临床试验方案，免费提供临床试验用样品，并承担临床试验费用。</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第三十四条　临床试验病例数应当根据临床试验目的、统计学要求，并参照相关技术指导原则确定。临床试验技术指导原则另行发布。</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用于罕见疾病以及应对突发公共卫生事件急需的体外诊断试剂，要求减少临床试验病例数或者免做临床试验的，申请人应当在提交注册申报资料的同时，提出减免临床试验的申请，并详细说明理由。食品药品监督管理部门技术审评机构对注册申报资料进行全面的技术审评后予以确定，需要补充临床试验的，以补正资料的方式通知申请人。</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第三十五条　申请进口体外诊断试剂注册，需要提供境外的临床评价资料。申请人应当按照临床评价的要求，同时考虑不同国家或者地区的流行病学背景、不同病种的特性、不同种属人群所适用的阳性判断</w:t>
      </w:r>
      <w:proofErr w:type="gramStart"/>
      <w:r w:rsidRPr="001F30DC">
        <w:rPr>
          <w:rFonts w:ascii="ˎ̥" w:eastAsia="宋体" w:hAnsi="ˎ̥" w:cs="Arial"/>
          <w:color w:val="000000"/>
          <w:kern w:val="0"/>
          <w:szCs w:val="21"/>
        </w:rPr>
        <w:t>值或者</w:t>
      </w:r>
      <w:proofErr w:type="gramEnd"/>
      <w:r w:rsidRPr="001F30DC">
        <w:rPr>
          <w:rFonts w:ascii="ˎ̥" w:eastAsia="宋体" w:hAnsi="ˎ̥" w:cs="Arial"/>
          <w:color w:val="000000"/>
          <w:kern w:val="0"/>
          <w:szCs w:val="21"/>
        </w:rPr>
        <w:t>参考区间等因素，在中国境内进行具有针对性的临床评价。</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lastRenderedPageBreak/>
        <w:t xml:space="preserve">　　第三十六条　临床试验机构完成临床试验后，应当分别出具临床试验报告。申请人或者临床试验牵头单位根据相关技术指导原则，对临床试验结果进行汇总，完成临床试验总结报告。</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第三十七条　由消费者个人自行使用的体外诊断试剂，在临床试验时，应当包含无医学背景的消费者对产品说明书认知能力的评价。</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第三十八条　申请人发现临床试验机构违反有关规定或者未执行临床试验方案的，应当督促其改正；情节严重的，可以要求暂停或者终止临床试验，并向临床试验机构所在地省、自治区、直辖市食品药品监督管理部门和国家食品药品监督管理总局报告。</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第三十九条　参加临床试验的机构及人员，对申请人违反有关规定或者要求改变试验数据、结论的，应当向申请人所在地省、自治区、直辖市食品药品监督管理部门和国家食品药品监督管理总局报告。</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第四十条　开展体外诊断试剂临床试验，应当向申请人所在地省、自治区、直辖市食品药品监督管理部门备案。接受备案的食品药品监督管理部门应当将备案情况通报临床试验机构所在地的同级食品药品监督管理部门和卫生计生主管部门。</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国家食品药品监督管理总局和省、自治区、直辖市食品药品监督管理部门根据需要对临床试验的实施情况进行监督检查。</w:t>
      </w:r>
    </w:p>
    <w:p w:rsidR="001F30DC" w:rsidRPr="001F30DC" w:rsidRDefault="001F30DC" w:rsidP="001F30DC">
      <w:pPr>
        <w:widowControl/>
        <w:wordWrap w:val="0"/>
        <w:spacing w:before="100" w:beforeAutospacing="1" w:after="100" w:afterAutospacing="1" w:line="480" w:lineRule="auto"/>
        <w:jc w:val="center"/>
        <w:rPr>
          <w:rFonts w:ascii="ˎ̥" w:eastAsia="宋体" w:hAnsi="ˎ̥" w:cs="Arial" w:hint="eastAsia"/>
          <w:color w:val="000000"/>
          <w:kern w:val="0"/>
          <w:szCs w:val="21"/>
        </w:rPr>
      </w:pPr>
      <w:r w:rsidRPr="001F30DC">
        <w:rPr>
          <w:rFonts w:ascii="ˎ̥" w:eastAsia="宋体" w:hAnsi="ˎ̥" w:cs="Arial"/>
          <w:color w:val="000000"/>
          <w:kern w:val="0"/>
          <w:szCs w:val="21"/>
        </w:rPr>
        <w:t>第六章　产品注册</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第四十一条　申请体外诊断试剂注册，申请人应当按照相关要求向食品药品监督管理部门报送申报资料。</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第四十二条　食品药品监督管理部门收到申请后对申报资料进行形式审查，并根据下列情况分别</w:t>
      </w:r>
      <w:proofErr w:type="gramStart"/>
      <w:r w:rsidRPr="001F30DC">
        <w:rPr>
          <w:rFonts w:ascii="ˎ̥" w:eastAsia="宋体" w:hAnsi="ˎ̥" w:cs="Arial"/>
          <w:color w:val="000000"/>
          <w:kern w:val="0"/>
          <w:szCs w:val="21"/>
        </w:rPr>
        <w:t>作出</w:t>
      </w:r>
      <w:proofErr w:type="gramEnd"/>
      <w:r w:rsidRPr="001F30DC">
        <w:rPr>
          <w:rFonts w:ascii="ˎ̥" w:eastAsia="宋体" w:hAnsi="ˎ̥" w:cs="Arial"/>
          <w:color w:val="000000"/>
          <w:kern w:val="0"/>
          <w:szCs w:val="21"/>
        </w:rPr>
        <w:t>处理：</w:t>
      </w:r>
      <w:r w:rsidRPr="001F30DC">
        <w:rPr>
          <w:rFonts w:ascii="ˎ̥" w:eastAsia="宋体" w:hAnsi="ˎ̥" w:cs="Arial"/>
          <w:color w:val="000000"/>
          <w:kern w:val="0"/>
          <w:sz w:val="18"/>
          <w:szCs w:val="18"/>
        </w:rPr>
        <w:br/>
      </w:r>
      <w:r w:rsidRPr="001F30DC">
        <w:rPr>
          <w:rFonts w:ascii="ˎ̥" w:eastAsia="宋体" w:hAnsi="ˎ̥" w:cs="Arial"/>
          <w:color w:val="000000"/>
          <w:kern w:val="0"/>
          <w:szCs w:val="21"/>
        </w:rPr>
        <w:lastRenderedPageBreak/>
        <w:t xml:space="preserve">　　（一）申请事项属于本部门职权范围，申报资料齐全、符合形式审查要求的，予以受理；</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（二）申报资料存在可以当场更正的错误的，应当允许申请人当场更正；</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（三）申报资料不齐全或者不符合形式审查要求的，应当在</w:t>
      </w:r>
      <w:r w:rsidRPr="001F30DC">
        <w:rPr>
          <w:rFonts w:ascii="ˎ̥" w:eastAsia="宋体" w:hAnsi="ˎ̥" w:cs="Arial"/>
          <w:color w:val="000000"/>
          <w:kern w:val="0"/>
          <w:szCs w:val="21"/>
        </w:rPr>
        <w:t>5</w:t>
      </w:r>
      <w:r w:rsidRPr="001F30DC">
        <w:rPr>
          <w:rFonts w:ascii="ˎ̥" w:eastAsia="宋体" w:hAnsi="ˎ̥" w:cs="Arial"/>
          <w:color w:val="000000"/>
          <w:kern w:val="0"/>
          <w:szCs w:val="21"/>
        </w:rPr>
        <w:t>个工作日内一次告知申请人需要补正的全部内容，逾期不告知的，自收到申报资料之日起即为受理；</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（四）申请事项不属于本部门职权范围的，应当即时告知申请人不予受理。</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食品药品监督管理部门受理或者不予受理体外诊断试剂注册申请，应当出具加盖本部门专用印章并注明日期的受理或者不予受理的通知书。</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第四十三条　受理注册申请的食品药品监督管理部门应当自受理之日起</w:t>
      </w:r>
      <w:r w:rsidRPr="001F30DC">
        <w:rPr>
          <w:rFonts w:ascii="ˎ̥" w:eastAsia="宋体" w:hAnsi="ˎ̥" w:cs="Arial"/>
          <w:color w:val="000000"/>
          <w:kern w:val="0"/>
          <w:szCs w:val="21"/>
        </w:rPr>
        <w:t>3</w:t>
      </w:r>
      <w:r w:rsidRPr="001F30DC">
        <w:rPr>
          <w:rFonts w:ascii="ˎ̥" w:eastAsia="宋体" w:hAnsi="ˎ̥" w:cs="Arial"/>
          <w:color w:val="000000"/>
          <w:kern w:val="0"/>
          <w:szCs w:val="21"/>
        </w:rPr>
        <w:t>个工作日内将申报资料转交技术审评机构。</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技术审评机构应当在</w:t>
      </w:r>
      <w:r w:rsidRPr="001F30DC">
        <w:rPr>
          <w:rFonts w:ascii="ˎ̥" w:eastAsia="宋体" w:hAnsi="ˎ̥" w:cs="Arial"/>
          <w:color w:val="000000"/>
          <w:kern w:val="0"/>
          <w:szCs w:val="21"/>
        </w:rPr>
        <w:t>60</w:t>
      </w:r>
      <w:r w:rsidRPr="001F30DC">
        <w:rPr>
          <w:rFonts w:ascii="ˎ̥" w:eastAsia="宋体" w:hAnsi="ˎ̥" w:cs="Arial"/>
          <w:color w:val="000000"/>
          <w:kern w:val="0"/>
          <w:szCs w:val="21"/>
        </w:rPr>
        <w:t>个工作日内完成第二类体外诊断试剂注册的技术审评工作，在</w:t>
      </w:r>
      <w:r w:rsidRPr="001F30DC">
        <w:rPr>
          <w:rFonts w:ascii="ˎ̥" w:eastAsia="宋体" w:hAnsi="ˎ̥" w:cs="Arial"/>
          <w:color w:val="000000"/>
          <w:kern w:val="0"/>
          <w:szCs w:val="21"/>
        </w:rPr>
        <w:t>90</w:t>
      </w:r>
      <w:r w:rsidRPr="001F30DC">
        <w:rPr>
          <w:rFonts w:ascii="ˎ̥" w:eastAsia="宋体" w:hAnsi="ˎ̥" w:cs="Arial"/>
          <w:color w:val="000000"/>
          <w:kern w:val="0"/>
          <w:szCs w:val="21"/>
        </w:rPr>
        <w:t>个工作日内完成第三类体外诊断试剂注册的技术审评工作。</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需要外聘专家审评的，所需时间不计算在内，技术审评机构应当将所需时间书面告知申请人。</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第四十四条　食品药品监督管理部门在组织产品技术审评时可以调阅原始研究资料</w:t>
      </w:r>
      <w:r w:rsidRPr="001F30DC">
        <w:rPr>
          <w:rFonts w:ascii="ˎ̥" w:eastAsia="宋体" w:hAnsi="ˎ̥" w:cs="Arial"/>
          <w:color w:val="000000"/>
          <w:kern w:val="0"/>
          <w:szCs w:val="21"/>
        </w:rPr>
        <w:t>,</w:t>
      </w:r>
      <w:r w:rsidRPr="001F30DC">
        <w:rPr>
          <w:rFonts w:ascii="ˎ̥" w:eastAsia="宋体" w:hAnsi="ˎ̥" w:cs="Arial"/>
          <w:color w:val="000000"/>
          <w:kern w:val="0"/>
          <w:szCs w:val="21"/>
        </w:rPr>
        <w:t>并组织对申请人进行与产品研制、生产有关的质量管理体系核查。</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境内第二类、第三类医疗器械注册质量管理体系核查，由省、自治区、直辖市食品药品监督管理部门开展，其中境内第三类医疗器械注册质量管理体系核查，由国家食品药品监督管理总局技术审评机构通知相应省、自治区、直辖市食品药品监督管理部门开展核查，必要时参与核查。省、自治区、直辖市食品药品监督管理部门应当在</w:t>
      </w:r>
      <w:r w:rsidRPr="001F30DC">
        <w:rPr>
          <w:rFonts w:ascii="ˎ̥" w:eastAsia="宋体" w:hAnsi="ˎ̥" w:cs="Arial"/>
          <w:color w:val="000000"/>
          <w:kern w:val="0"/>
          <w:szCs w:val="21"/>
        </w:rPr>
        <w:t>30</w:t>
      </w:r>
      <w:r w:rsidRPr="001F30DC">
        <w:rPr>
          <w:rFonts w:ascii="ˎ̥" w:eastAsia="宋体" w:hAnsi="ˎ̥" w:cs="Arial"/>
          <w:color w:val="000000"/>
          <w:kern w:val="0"/>
          <w:szCs w:val="21"/>
        </w:rPr>
        <w:t>个工作日内根据相关要求完成体系核查。</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国家食品药品监督管理总局技术审评机构在对进口第二类、第三类体外诊断试剂开展技术审评时，认为有必要进行质量管理体系核查的，通知国家食品药品监督管理总局质量管理体系检查技术机构根据相关</w:t>
      </w:r>
      <w:r w:rsidRPr="001F30DC">
        <w:rPr>
          <w:rFonts w:ascii="ˎ̥" w:eastAsia="宋体" w:hAnsi="ˎ̥" w:cs="Arial"/>
          <w:color w:val="000000"/>
          <w:kern w:val="0"/>
          <w:szCs w:val="21"/>
        </w:rPr>
        <w:lastRenderedPageBreak/>
        <w:t>要求开展核查，必要时技术审评机构参与核查。</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质量管理体系核查的时间不计算在审评时限内。</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第四十五条　技术审评过程中需要申请人补正资料的，技术审评机构应当一次告知需要补正的全部内容。申请人应当在１年内按照补正通知的要求一次提供补充资料；技术审评机构应当自收到补充资料之日起</w:t>
      </w:r>
      <w:r w:rsidRPr="001F30DC">
        <w:rPr>
          <w:rFonts w:ascii="ˎ̥" w:eastAsia="宋体" w:hAnsi="ˎ̥" w:cs="Arial"/>
          <w:color w:val="000000"/>
          <w:kern w:val="0"/>
          <w:szCs w:val="21"/>
        </w:rPr>
        <w:t>60</w:t>
      </w:r>
      <w:r w:rsidRPr="001F30DC">
        <w:rPr>
          <w:rFonts w:ascii="ˎ̥" w:eastAsia="宋体" w:hAnsi="ˎ̥" w:cs="Arial"/>
          <w:color w:val="000000"/>
          <w:kern w:val="0"/>
          <w:szCs w:val="21"/>
        </w:rPr>
        <w:t>个工作日内完成技术审评。申请人补充资料的时间不计算在审评时限内。</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申请人对补正资料通知内容有异议的，可以向相应的技术审评机构提出书面意见，说明理由并提供相应的技术支持资料。</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申请人逾期未提交补充资料的，由技术审评机构终止技术审评，提出不予注册的建议，由食品药品监督管理部门核准后作出不予注册的决定。</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第四十六条　受理注册申请的食品药品监督管理部门应当在技术审评结束后</w:t>
      </w:r>
      <w:r w:rsidRPr="001F30DC">
        <w:rPr>
          <w:rFonts w:ascii="ˎ̥" w:eastAsia="宋体" w:hAnsi="ˎ̥" w:cs="Arial"/>
          <w:color w:val="000000"/>
          <w:kern w:val="0"/>
          <w:szCs w:val="21"/>
        </w:rPr>
        <w:t>20</w:t>
      </w:r>
      <w:r w:rsidRPr="001F30DC">
        <w:rPr>
          <w:rFonts w:ascii="ˎ̥" w:eastAsia="宋体" w:hAnsi="ˎ̥" w:cs="Arial"/>
          <w:color w:val="000000"/>
          <w:kern w:val="0"/>
          <w:szCs w:val="21"/>
        </w:rPr>
        <w:t>个工作日内</w:t>
      </w:r>
      <w:proofErr w:type="gramStart"/>
      <w:r w:rsidRPr="001F30DC">
        <w:rPr>
          <w:rFonts w:ascii="ˎ̥" w:eastAsia="宋体" w:hAnsi="ˎ̥" w:cs="Arial"/>
          <w:color w:val="000000"/>
          <w:kern w:val="0"/>
          <w:szCs w:val="21"/>
        </w:rPr>
        <w:t>作出</w:t>
      </w:r>
      <w:proofErr w:type="gramEnd"/>
      <w:r w:rsidRPr="001F30DC">
        <w:rPr>
          <w:rFonts w:ascii="ˎ̥" w:eastAsia="宋体" w:hAnsi="ˎ̥" w:cs="Arial"/>
          <w:color w:val="000000"/>
          <w:kern w:val="0"/>
          <w:szCs w:val="21"/>
        </w:rPr>
        <w:t>决定。对符合安全、有效要求的，准予注册，自</w:t>
      </w:r>
      <w:proofErr w:type="gramStart"/>
      <w:r w:rsidRPr="001F30DC">
        <w:rPr>
          <w:rFonts w:ascii="ˎ̥" w:eastAsia="宋体" w:hAnsi="ˎ̥" w:cs="Arial"/>
          <w:color w:val="000000"/>
          <w:kern w:val="0"/>
          <w:szCs w:val="21"/>
        </w:rPr>
        <w:t>作出</w:t>
      </w:r>
      <w:proofErr w:type="gramEnd"/>
      <w:r w:rsidRPr="001F30DC">
        <w:rPr>
          <w:rFonts w:ascii="ˎ̥" w:eastAsia="宋体" w:hAnsi="ˎ̥" w:cs="Arial"/>
          <w:color w:val="000000"/>
          <w:kern w:val="0"/>
          <w:szCs w:val="21"/>
        </w:rPr>
        <w:t>审批决定之日起</w:t>
      </w:r>
      <w:r w:rsidRPr="001F30DC">
        <w:rPr>
          <w:rFonts w:ascii="ˎ̥" w:eastAsia="宋体" w:hAnsi="ˎ̥" w:cs="Arial"/>
          <w:color w:val="000000"/>
          <w:kern w:val="0"/>
          <w:szCs w:val="21"/>
        </w:rPr>
        <w:t>10</w:t>
      </w:r>
      <w:r w:rsidRPr="001F30DC">
        <w:rPr>
          <w:rFonts w:ascii="ˎ̥" w:eastAsia="宋体" w:hAnsi="ˎ̥" w:cs="Arial"/>
          <w:color w:val="000000"/>
          <w:kern w:val="0"/>
          <w:szCs w:val="21"/>
        </w:rPr>
        <w:t>个工作日内发给医疗器械注册证，经过核准的产品技术要求和产品说明书以附件形式发给申请人。对不予注册的，应当书面说明理由</w:t>
      </w:r>
      <w:r w:rsidRPr="001F30DC">
        <w:rPr>
          <w:rFonts w:ascii="ˎ̥" w:eastAsia="宋体" w:hAnsi="ˎ̥" w:cs="Arial"/>
          <w:color w:val="000000"/>
          <w:kern w:val="0"/>
          <w:szCs w:val="21"/>
        </w:rPr>
        <w:t>,</w:t>
      </w:r>
      <w:r w:rsidRPr="001F30DC">
        <w:rPr>
          <w:rFonts w:ascii="ˎ̥" w:eastAsia="宋体" w:hAnsi="ˎ̥" w:cs="Arial"/>
          <w:color w:val="000000"/>
          <w:kern w:val="0"/>
          <w:szCs w:val="21"/>
        </w:rPr>
        <w:t>并同时告知申请人享有申请复审和依法申请行政复议或者提起行政诉讼的权利。</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医疗器械注册证有效期为</w:t>
      </w:r>
      <w:r w:rsidRPr="001F30DC">
        <w:rPr>
          <w:rFonts w:ascii="ˎ̥" w:eastAsia="宋体" w:hAnsi="ˎ̥" w:cs="Arial"/>
          <w:color w:val="000000"/>
          <w:kern w:val="0"/>
          <w:szCs w:val="21"/>
        </w:rPr>
        <w:t>5</w:t>
      </w:r>
      <w:r w:rsidRPr="001F30DC">
        <w:rPr>
          <w:rFonts w:ascii="ˎ̥" w:eastAsia="宋体" w:hAnsi="ˎ̥" w:cs="Arial"/>
          <w:color w:val="000000"/>
          <w:kern w:val="0"/>
          <w:szCs w:val="21"/>
        </w:rPr>
        <w:t>年。</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第四十七条　体外诊断试剂注册事项包括许可事项和登记事项。许可事项包括产品名称、包装规格、主要组成成分、预期用途、产品技术要求、产品说明书、产品有效期、进口体外诊断试剂的生产地址等；登记事项包括注册人名称和住所、代理人名称和住所、境内体外诊断试剂的生产地址等。</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第四十八条　对用于罕见疾病以及应对突发公共卫生事件急需的体外诊断试剂，食品药品监督管理部门可以在批准该体外诊断试剂注册时要求申请人在产品上市后进一步完成相关工作，并将要求载明于医疗器械注册证中。</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lastRenderedPageBreak/>
        <w:t xml:space="preserve">　　第四十九条　对于已受理的注册申请，有下列情形之一的，食品药品监督管理部门</w:t>
      </w:r>
      <w:proofErr w:type="gramStart"/>
      <w:r w:rsidRPr="001F30DC">
        <w:rPr>
          <w:rFonts w:ascii="ˎ̥" w:eastAsia="宋体" w:hAnsi="ˎ̥" w:cs="Arial"/>
          <w:color w:val="000000"/>
          <w:kern w:val="0"/>
          <w:szCs w:val="21"/>
        </w:rPr>
        <w:t>作出</w:t>
      </w:r>
      <w:proofErr w:type="gramEnd"/>
      <w:r w:rsidRPr="001F30DC">
        <w:rPr>
          <w:rFonts w:ascii="ˎ̥" w:eastAsia="宋体" w:hAnsi="ˎ̥" w:cs="Arial"/>
          <w:color w:val="000000"/>
          <w:kern w:val="0"/>
          <w:szCs w:val="21"/>
        </w:rPr>
        <w:t>不予注册的决定，并告知申请人：</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（一）申请人对拟上市销售体外诊断试剂的安全性、有效性进行的研究及其结果无法证明产品安全、有效的；</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（二）注册申报资料虚假的；</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（三）注册申报资料内容混乱、矛盾的；</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（四）注册申报资料的内容与申报项目明显不符的；</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（五）不予注册的其他情形。</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第五十条　对于已受理的注册申请，申请人可以在行政许可决定</w:t>
      </w:r>
      <w:proofErr w:type="gramStart"/>
      <w:r w:rsidRPr="001F30DC">
        <w:rPr>
          <w:rFonts w:ascii="ˎ̥" w:eastAsia="宋体" w:hAnsi="ˎ̥" w:cs="Arial"/>
          <w:color w:val="000000"/>
          <w:kern w:val="0"/>
          <w:szCs w:val="21"/>
        </w:rPr>
        <w:t>作出</w:t>
      </w:r>
      <w:proofErr w:type="gramEnd"/>
      <w:r w:rsidRPr="001F30DC">
        <w:rPr>
          <w:rFonts w:ascii="ˎ̥" w:eastAsia="宋体" w:hAnsi="ˎ̥" w:cs="Arial"/>
          <w:color w:val="000000"/>
          <w:kern w:val="0"/>
          <w:szCs w:val="21"/>
        </w:rPr>
        <w:t>前，向受理该申请的食品药品监督管理部门申请撤回注册申请及相关资料，并说明理由。</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第五十一条　对于已受理的注册申请，有证据表明注册申报资料可能虚假的，食品药品监督管理部门可以中止审批。经核实后，根据核实结论继续审查或者</w:t>
      </w:r>
      <w:proofErr w:type="gramStart"/>
      <w:r w:rsidRPr="001F30DC">
        <w:rPr>
          <w:rFonts w:ascii="ˎ̥" w:eastAsia="宋体" w:hAnsi="ˎ̥" w:cs="Arial"/>
          <w:color w:val="000000"/>
          <w:kern w:val="0"/>
          <w:szCs w:val="21"/>
        </w:rPr>
        <w:t>作出</w:t>
      </w:r>
      <w:proofErr w:type="gramEnd"/>
      <w:r w:rsidRPr="001F30DC">
        <w:rPr>
          <w:rFonts w:ascii="ˎ̥" w:eastAsia="宋体" w:hAnsi="ˎ̥" w:cs="Arial"/>
          <w:color w:val="000000"/>
          <w:kern w:val="0"/>
          <w:szCs w:val="21"/>
        </w:rPr>
        <w:t>不予注册的决定。</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第五十二条　申请人对食品药品监督管理部门</w:t>
      </w:r>
      <w:proofErr w:type="gramStart"/>
      <w:r w:rsidRPr="001F30DC">
        <w:rPr>
          <w:rFonts w:ascii="ˎ̥" w:eastAsia="宋体" w:hAnsi="ˎ̥" w:cs="Arial"/>
          <w:color w:val="000000"/>
          <w:kern w:val="0"/>
          <w:szCs w:val="21"/>
        </w:rPr>
        <w:t>作出</w:t>
      </w:r>
      <w:proofErr w:type="gramEnd"/>
      <w:r w:rsidRPr="001F30DC">
        <w:rPr>
          <w:rFonts w:ascii="ˎ̥" w:eastAsia="宋体" w:hAnsi="ˎ̥" w:cs="Arial"/>
          <w:color w:val="000000"/>
          <w:kern w:val="0"/>
          <w:szCs w:val="21"/>
        </w:rPr>
        <w:t>的不予注册决定有异议的，可以自收到不予注册决定通知之日起</w:t>
      </w:r>
      <w:r w:rsidRPr="001F30DC">
        <w:rPr>
          <w:rFonts w:ascii="ˎ̥" w:eastAsia="宋体" w:hAnsi="ˎ̥" w:cs="Arial"/>
          <w:color w:val="000000"/>
          <w:kern w:val="0"/>
          <w:szCs w:val="21"/>
        </w:rPr>
        <w:t>20</w:t>
      </w:r>
      <w:r w:rsidRPr="001F30DC">
        <w:rPr>
          <w:rFonts w:ascii="ˎ̥" w:eastAsia="宋体" w:hAnsi="ˎ̥" w:cs="Arial"/>
          <w:color w:val="000000"/>
          <w:kern w:val="0"/>
          <w:szCs w:val="21"/>
        </w:rPr>
        <w:t>个工作日内，向</w:t>
      </w:r>
      <w:proofErr w:type="gramStart"/>
      <w:r w:rsidRPr="001F30DC">
        <w:rPr>
          <w:rFonts w:ascii="ˎ̥" w:eastAsia="宋体" w:hAnsi="ˎ̥" w:cs="Arial"/>
          <w:color w:val="000000"/>
          <w:kern w:val="0"/>
          <w:szCs w:val="21"/>
        </w:rPr>
        <w:t>作出</w:t>
      </w:r>
      <w:proofErr w:type="gramEnd"/>
      <w:r w:rsidRPr="001F30DC">
        <w:rPr>
          <w:rFonts w:ascii="ˎ̥" w:eastAsia="宋体" w:hAnsi="ˎ̥" w:cs="Arial"/>
          <w:color w:val="000000"/>
          <w:kern w:val="0"/>
          <w:szCs w:val="21"/>
        </w:rPr>
        <w:t>审批决定的食品药品监督管理部门提出复审申请。复审申请的内容仅限于原申请事项和原申报资料。</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食品药品监督管理部门应当自受理复审申请之日起</w:t>
      </w:r>
      <w:r w:rsidRPr="001F30DC">
        <w:rPr>
          <w:rFonts w:ascii="ˎ̥" w:eastAsia="宋体" w:hAnsi="ˎ̥" w:cs="Arial"/>
          <w:color w:val="000000"/>
          <w:kern w:val="0"/>
          <w:szCs w:val="21"/>
        </w:rPr>
        <w:t>30</w:t>
      </w:r>
      <w:r w:rsidRPr="001F30DC">
        <w:rPr>
          <w:rFonts w:ascii="ˎ̥" w:eastAsia="宋体" w:hAnsi="ˎ̥" w:cs="Arial"/>
          <w:color w:val="000000"/>
          <w:kern w:val="0"/>
          <w:szCs w:val="21"/>
        </w:rPr>
        <w:t>个工作日内</w:t>
      </w:r>
      <w:proofErr w:type="gramStart"/>
      <w:r w:rsidRPr="001F30DC">
        <w:rPr>
          <w:rFonts w:ascii="ˎ̥" w:eastAsia="宋体" w:hAnsi="ˎ̥" w:cs="Arial"/>
          <w:color w:val="000000"/>
          <w:kern w:val="0"/>
          <w:szCs w:val="21"/>
        </w:rPr>
        <w:t>作出</w:t>
      </w:r>
      <w:proofErr w:type="gramEnd"/>
      <w:r w:rsidRPr="001F30DC">
        <w:rPr>
          <w:rFonts w:ascii="ˎ̥" w:eastAsia="宋体" w:hAnsi="ˎ̥" w:cs="Arial"/>
          <w:color w:val="000000"/>
          <w:kern w:val="0"/>
          <w:szCs w:val="21"/>
        </w:rPr>
        <w:t>复审决定，并书面通知申请人。维持原决定的，食品药品监督管理部门不再受理申请人再次提出的复审申请。</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第五十三条　申请人对食品药品监督管理部门</w:t>
      </w:r>
      <w:proofErr w:type="gramStart"/>
      <w:r w:rsidRPr="001F30DC">
        <w:rPr>
          <w:rFonts w:ascii="ˎ̥" w:eastAsia="宋体" w:hAnsi="ˎ̥" w:cs="Arial"/>
          <w:color w:val="000000"/>
          <w:kern w:val="0"/>
          <w:szCs w:val="21"/>
        </w:rPr>
        <w:t>作出</w:t>
      </w:r>
      <w:proofErr w:type="gramEnd"/>
      <w:r w:rsidRPr="001F30DC">
        <w:rPr>
          <w:rFonts w:ascii="ˎ̥" w:eastAsia="宋体" w:hAnsi="ˎ̥" w:cs="Arial"/>
          <w:color w:val="000000"/>
          <w:kern w:val="0"/>
          <w:szCs w:val="21"/>
        </w:rPr>
        <w:t>的不予注册的决定有异议，且已申请行政复议或者提起行政诉讼的，食品药品监督管理部门不受理其复审申请。</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lastRenderedPageBreak/>
        <w:t xml:space="preserve">　　第五十四条　医疗器械注册证遗失的，注册人应当立即在原发证机关指定的媒体上登载遗失声明。自登载遗失声明之日起满</w:t>
      </w:r>
      <w:r w:rsidRPr="001F30DC">
        <w:rPr>
          <w:rFonts w:ascii="ˎ̥" w:eastAsia="宋体" w:hAnsi="ˎ̥" w:cs="Arial"/>
          <w:color w:val="000000"/>
          <w:kern w:val="0"/>
          <w:szCs w:val="21"/>
        </w:rPr>
        <w:t>1</w:t>
      </w:r>
      <w:r w:rsidRPr="001F30DC">
        <w:rPr>
          <w:rFonts w:ascii="ˎ̥" w:eastAsia="宋体" w:hAnsi="ˎ̥" w:cs="Arial"/>
          <w:color w:val="000000"/>
          <w:kern w:val="0"/>
          <w:szCs w:val="21"/>
        </w:rPr>
        <w:t>个月后，向原发证机关申请补发，原发证机关在</w:t>
      </w:r>
      <w:r w:rsidRPr="001F30DC">
        <w:rPr>
          <w:rFonts w:ascii="ˎ̥" w:eastAsia="宋体" w:hAnsi="ˎ̥" w:cs="Arial"/>
          <w:color w:val="000000"/>
          <w:kern w:val="0"/>
          <w:szCs w:val="21"/>
        </w:rPr>
        <w:t>20</w:t>
      </w:r>
      <w:r w:rsidRPr="001F30DC">
        <w:rPr>
          <w:rFonts w:ascii="ˎ̥" w:eastAsia="宋体" w:hAnsi="ˎ̥" w:cs="Arial"/>
          <w:color w:val="000000"/>
          <w:kern w:val="0"/>
          <w:szCs w:val="21"/>
        </w:rPr>
        <w:t>个工作日内予以补发。</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第五十五条　体外诊断试剂上市后，其产品技术要求和说明书应当与食品药品监督管理部门核准的内容一致。注册人或者备案人应当对上市后产品的安全性和有效性进行跟踪，必要时及时提出产品技术要求、说明书的变更申请。</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第五十六条　体外诊断试剂注册申请直接涉及申请人与他人之间重大利益关系的，食品药品监督管理部门应当告知申请人、利害关系人依照法律、法规以及国家食品药品监督管理总局的有关规定享有申请听证的权利；对体外诊断试剂注册申请进行审查时，食品药品监督管理部门认为属于涉及公共利益的重大许可事项，应当向社会公告，并举行听证。</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第五十七条　注册申请审查过程中及批准后发生专利权纠纷的，应当按照有关法律、法规的规定处理。</w:t>
      </w:r>
    </w:p>
    <w:p w:rsidR="001F30DC" w:rsidRPr="001F30DC" w:rsidRDefault="001F30DC" w:rsidP="001F30DC">
      <w:pPr>
        <w:widowControl/>
        <w:wordWrap w:val="0"/>
        <w:spacing w:before="100" w:beforeAutospacing="1" w:after="100" w:afterAutospacing="1" w:line="480" w:lineRule="auto"/>
        <w:jc w:val="center"/>
        <w:rPr>
          <w:rFonts w:ascii="ˎ̥" w:eastAsia="宋体" w:hAnsi="ˎ̥" w:cs="Arial" w:hint="eastAsia"/>
          <w:color w:val="000000"/>
          <w:kern w:val="0"/>
          <w:szCs w:val="21"/>
        </w:rPr>
      </w:pPr>
      <w:r w:rsidRPr="001F30DC">
        <w:rPr>
          <w:rFonts w:ascii="ˎ̥" w:eastAsia="宋体" w:hAnsi="ˎ̥" w:cs="Arial"/>
          <w:color w:val="000000"/>
          <w:kern w:val="0"/>
          <w:szCs w:val="21"/>
        </w:rPr>
        <w:t>第七章　注册变更</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第五十八条　已注册的第二类、第三类体外诊断试剂，医疗器械注册证及其附件载明的内容发生变化，注册人应当向原注册部门申请注册变更，并按照相关要求提交申报资料。</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注册人名称和住所、代理人名称和住所发生变化的，注册人应当向原注册部门申请登记事项变更；境内体外诊断试剂生产地址变更的，注册人应当在相应的生产许可变更后办理注册登记事项变更。</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注册证及附件载明内容发生以下变化的，申请人应当向原注册部门申请许可事项变更：</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（一）抗原、抗体等主要材料供应商变更的；</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（二）检测条件、阳性判断</w:t>
      </w:r>
      <w:proofErr w:type="gramStart"/>
      <w:r w:rsidRPr="001F30DC">
        <w:rPr>
          <w:rFonts w:ascii="ˎ̥" w:eastAsia="宋体" w:hAnsi="ˎ̥" w:cs="Arial"/>
          <w:color w:val="000000"/>
          <w:kern w:val="0"/>
          <w:szCs w:val="21"/>
        </w:rPr>
        <w:t>值或者</w:t>
      </w:r>
      <w:proofErr w:type="gramEnd"/>
      <w:r w:rsidRPr="001F30DC">
        <w:rPr>
          <w:rFonts w:ascii="ˎ̥" w:eastAsia="宋体" w:hAnsi="ˎ̥" w:cs="Arial"/>
          <w:color w:val="000000"/>
          <w:kern w:val="0"/>
          <w:szCs w:val="21"/>
        </w:rPr>
        <w:t>参考区间变更的；</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（三）注册产品技术要求中所设定的项目、指标、试验方法变更的；</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（四）包装规格、适用机型变更的；</w:t>
      </w:r>
      <w:r w:rsidRPr="001F30DC">
        <w:rPr>
          <w:rFonts w:ascii="ˎ̥" w:eastAsia="宋体" w:hAnsi="ˎ̥" w:cs="Arial"/>
          <w:color w:val="000000"/>
          <w:kern w:val="0"/>
          <w:sz w:val="18"/>
          <w:szCs w:val="18"/>
        </w:rPr>
        <w:br/>
      </w:r>
      <w:r w:rsidRPr="001F30DC">
        <w:rPr>
          <w:rFonts w:ascii="ˎ̥" w:eastAsia="宋体" w:hAnsi="ˎ̥" w:cs="Arial"/>
          <w:color w:val="000000"/>
          <w:kern w:val="0"/>
          <w:szCs w:val="21"/>
        </w:rPr>
        <w:lastRenderedPageBreak/>
        <w:t xml:space="preserve">　　（五）产品储存条件或者产品有效期变更的；</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（六）增加预期用途，如增加临床适应症、增加临床测定用样本类型的；</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（七）进口体外诊断试剂生产地址变更的；</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（八）可能影响产品安全性、有效性的其他变更。</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第五十九条　下列情形不属于本章规定的变更申请事项，应当按照注册申请办理：</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（一）产品基本反应原理改变；</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（二）产品阳性判断</w:t>
      </w:r>
      <w:proofErr w:type="gramStart"/>
      <w:r w:rsidRPr="001F30DC">
        <w:rPr>
          <w:rFonts w:ascii="ˎ̥" w:eastAsia="宋体" w:hAnsi="ˎ̥" w:cs="Arial"/>
          <w:color w:val="000000"/>
          <w:kern w:val="0"/>
          <w:szCs w:val="21"/>
        </w:rPr>
        <w:t>值或者</w:t>
      </w:r>
      <w:proofErr w:type="gramEnd"/>
      <w:r w:rsidRPr="001F30DC">
        <w:rPr>
          <w:rFonts w:ascii="ˎ̥" w:eastAsia="宋体" w:hAnsi="ˎ̥" w:cs="Arial"/>
          <w:color w:val="000000"/>
          <w:kern w:val="0"/>
          <w:szCs w:val="21"/>
        </w:rPr>
        <w:t>参考区间改变，并具有新的临床诊断意义；</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（三）其他影响产品性能的重大改变。</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第六十条　登记事项变更资料符合要求的，食品药品监督管理部门应当在</w:t>
      </w:r>
      <w:r w:rsidRPr="001F30DC">
        <w:rPr>
          <w:rFonts w:ascii="ˎ̥" w:eastAsia="宋体" w:hAnsi="ˎ̥" w:cs="Arial"/>
          <w:color w:val="000000"/>
          <w:kern w:val="0"/>
          <w:szCs w:val="21"/>
        </w:rPr>
        <w:t>10</w:t>
      </w:r>
      <w:r w:rsidRPr="001F30DC">
        <w:rPr>
          <w:rFonts w:ascii="ˎ̥" w:eastAsia="宋体" w:hAnsi="ˎ̥" w:cs="Arial"/>
          <w:color w:val="000000"/>
          <w:kern w:val="0"/>
          <w:szCs w:val="21"/>
        </w:rPr>
        <w:t>个工作日内发给医疗器械注册变更文件。登记事项变更资料不齐全或者不符合形式审查要求的，食品药品监督管理部门应当一次告知需要补正的全部内容。</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第六十一条　对于许可事项变更，技术审评机构应当重点针对变化部分及其对产品性能的影响进行审评，对变化后产品是否安全、有效</w:t>
      </w:r>
      <w:proofErr w:type="gramStart"/>
      <w:r w:rsidRPr="001F30DC">
        <w:rPr>
          <w:rFonts w:ascii="ˎ̥" w:eastAsia="宋体" w:hAnsi="ˎ̥" w:cs="Arial"/>
          <w:color w:val="000000"/>
          <w:kern w:val="0"/>
          <w:szCs w:val="21"/>
        </w:rPr>
        <w:t>作出</w:t>
      </w:r>
      <w:proofErr w:type="gramEnd"/>
      <w:r w:rsidRPr="001F30DC">
        <w:rPr>
          <w:rFonts w:ascii="ˎ̥" w:eastAsia="宋体" w:hAnsi="ˎ̥" w:cs="Arial"/>
          <w:color w:val="000000"/>
          <w:kern w:val="0"/>
          <w:szCs w:val="21"/>
        </w:rPr>
        <w:t>评价。</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受理许可事项变更申请的食品药品监督管理部门应当按照本办法第六章规定的时限组织技术审评。</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第六十二条　医疗器械注册变更文件与原医疗器械注册证合并使用，其有效期与该注册证相同。取得注册变更文件后，注册人应当根据变更内容自行修改产品技术要求、说明书和标签。</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第六十三条　许可事项变更申请的受理与审批程序，本章未作规定的，适用本办法第六章的相关规定。</w:t>
      </w:r>
    </w:p>
    <w:p w:rsidR="001F30DC" w:rsidRPr="001F30DC" w:rsidRDefault="001F30DC" w:rsidP="001F30DC">
      <w:pPr>
        <w:widowControl/>
        <w:wordWrap w:val="0"/>
        <w:spacing w:before="100" w:beforeAutospacing="1" w:after="100" w:afterAutospacing="1" w:line="480" w:lineRule="auto"/>
        <w:jc w:val="center"/>
        <w:rPr>
          <w:rFonts w:ascii="ˎ̥" w:eastAsia="宋体" w:hAnsi="ˎ̥" w:cs="Arial" w:hint="eastAsia"/>
          <w:color w:val="000000"/>
          <w:kern w:val="0"/>
          <w:szCs w:val="21"/>
        </w:rPr>
      </w:pPr>
      <w:r w:rsidRPr="001F30DC">
        <w:rPr>
          <w:rFonts w:ascii="ˎ̥" w:eastAsia="宋体" w:hAnsi="ˎ̥" w:cs="Arial"/>
          <w:color w:val="000000"/>
          <w:kern w:val="0"/>
          <w:szCs w:val="21"/>
        </w:rPr>
        <w:t>第八章　延续注册</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lastRenderedPageBreak/>
        <w:t xml:space="preserve">　　第六十四条　医疗器械注册证有效期届满需要延续注册的，注册人应当在医疗器械注册证有效期届满</w:t>
      </w:r>
      <w:r w:rsidRPr="001F30DC">
        <w:rPr>
          <w:rFonts w:ascii="ˎ̥" w:eastAsia="宋体" w:hAnsi="ˎ̥" w:cs="Arial"/>
          <w:color w:val="000000"/>
          <w:kern w:val="0"/>
          <w:szCs w:val="21"/>
        </w:rPr>
        <w:t>6</w:t>
      </w:r>
      <w:r w:rsidRPr="001F30DC">
        <w:rPr>
          <w:rFonts w:ascii="ˎ̥" w:eastAsia="宋体" w:hAnsi="ˎ̥" w:cs="Arial"/>
          <w:color w:val="000000"/>
          <w:kern w:val="0"/>
          <w:szCs w:val="21"/>
        </w:rPr>
        <w:t>个月前，向食品药品监督管理部门申请延续注册，并按照相关要求提交申报资料。</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除有本办法第六十五条规定情形外，接到延续注册申请的食品药品监督管理部门应当在医疗器械注册证有效期届满前作出准予延续的决定。逾期未作决定的，视为准予延续。</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第六十五条　有下列情形之一的，不予延续注册：</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（一）注册人未在规定期限内提出延续注册申请的；</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（二）体外诊断试剂强制性标准已经修订或者有新的国家标准品、参考品，该体外诊断试剂不能达到新要求的；</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（三）对用于罕见疾病以及应对突发公共卫生事件急需的体外诊断试剂，批准注册部门在批准上市时提出要求，注册人未在规定期限内完成医疗器械注册证载明事项的。</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第六十六条　体外诊断试剂延续注册申请的受理与审批程序，本章未作规定的，适用本办法第六章的相关规定。</w:t>
      </w:r>
    </w:p>
    <w:p w:rsidR="001F30DC" w:rsidRPr="001F30DC" w:rsidRDefault="001F30DC" w:rsidP="001F30DC">
      <w:pPr>
        <w:widowControl/>
        <w:wordWrap w:val="0"/>
        <w:spacing w:before="100" w:beforeAutospacing="1" w:after="100" w:afterAutospacing="1" w:line="480" w:lineRule="auto"/>
        <w:jc w:val="center"/>
        <w:rPr>
          <w:rFonts w:ascii="ˎ̥" w:eastAsia="宋体" w:hAnsi="ˎ̥" w:cs="Arial" w:hint="eastAsia"/>
          <w:color w:val="000000"/>
          <w:kern w:val="0"/>
          <w:szCs w:val="21"/>
        </w:rPr>
      </w:pPr>
      <w:r w:rsidRPr="001F30DC">
        <w:rPr>
          <w:rFonts w:ascii="ˎ̥" w:eastAsia="宋体" w:hAnsi="ˎ̥" w:cs="Arial"/>
          <w:color w:val="000000"/>
          <w:kern w:val="0"/>
          <w:szCs w:val="21"/>
        </w:rPr>
        <w:t>第九章　产品备案</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第六十七条　第一类体外诊断试剂生产前，应当办理产品备案。</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第六十八条　办理体外诊断试剂备案，备案人应当按照《医疗器械监督管理条例》第九条的规定提交备案资料。</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备案资料符合要求的，食品药品监督管理部门应当当场备案；备案资料不齐全或者不符合规定形式的，应当一次告知需要补正的全部内容，由备案人补正后备案。</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对备案的体外诊断试剂，食品药品监督管理部门应当按照相关要求的格式制作备案凭证，并将备案信息表中登载的信息在其网站上予以公布。</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lastRenderedPageBreak/>
        <w:t xml:space="preserve">　　第六十九条　已备案的体外诊断试剂，备案信息表中登载内容及备案的产品技术要求发生变化的，备案人应当提交变化情况的说明及相关证明文件，向原备案部门提出变更备案信息。备案资料符合形式要求的，食品药品监督管理部门应当将变更情况登载于变更信息中，将备案资料存档。</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第七十条　已备案的体外诊断试剂管理类别调整的，备案人应当主动向食品药品监督管理部门提出取消原备案；管理类别调整为第二类或者第三类体外诊断试剂的，按照本办法规定申请注册。</w:t>
      </w:r>
    </w:p>
    <w:p w:rsidR="001F30DC" w:rsidRPr="001F30DC" w:rsidRDefault="001F30DC" w:rsidP="001F30DC">
      <w:pPr>
        <w:widowControl/>
        <w:wordWrap w:val="0"/>
        <w:spacing w:before="100" w:beforeAutospacing="1" w:after="100" w:afterAutospacing="1" w:line="480" w:lineRule="auto"/>
        <w:jc w:val="center"/>
        <w:rPr>
          <w:rFonts w:ascii="ˎ̥" w:eastAsia="宋体" w:hAnsi="ˎ̥" w:cs="Arial" w:hint="eastAsia"/>
          <w:color w:val="000000"/>
          <w:kern w:val="0"/>
          <w:szCs w:val="21"/>
        </w:rPr>
      </w:pPr>
      <w:r w:rsidRPr="001F30DC">
        <w:rPr>
          <w:rFonts w:ascii="ˎ̥" w:eastAsia="宋体" w:hAnsi="ˎ̥" w:cs="Arial"/>
          <w:color w:val="000000"/>
          <w:kern w:val="0"/>
          <w:szCs w:val="21"/>
        </w:rPr>
        <w:t>第十章　监督管理</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第七十一条　国家食品药品监督管理总局负责全国体外诊断试剂注册与备案的监督管理工作，对地方食品药品监督管理部门体外诊断试剂注册与备案工作进行监督和指导。</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第七十二条　省、自治区、直辖市食品药品监督管理部门负责本行政区域的体外诊断试剂注册与备案的监督管理工作，组织开展监督检查，并将有关情况及时报送国家食品药品监督管理总局。</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第七十三条　省、自治区、直辖市食品药品监督管理部门按照属地管理原则，对进口体外诊断试剂代理人注册与备案相关工作实施日常监督管理。</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第七十四条　设区的市级食品药品监督管理部门应当定期对备案工作开展检查，并及时向省、自治区、直辖市食品药品监督管理部门报送相关信息。</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第七十五条　已注册的体外诊断试剂有法律、法规规定应当注销的情形，或者注册证有效期未满但注册人主动提出注销的，食品药品监督管理部门应当依法注销，并向社会公布。</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第七十六条　已注册的体外诊断试剂，其管理类别由高类别调整为低类别的，在有效期内的医疗器械注册证继续有效。如需延续的，注册人应当在医疗器械注册证有效期届满</w:t>
      </w:r>
      <w:r w:rsidRPr="001F30DC">
        <w:rPr>
          <w:rFonts w:ascii="ˎ̥" w:eastAsia="宋体" w:hAnsi="ˎ̥" w:cs="Arial"/>
          <w:color w:val="000000"/>
          <w:kern w:val="0"/>
          <w:szCs w:val="21"/>
        </w:rPr>
        <w:t>6</w:t>
      </w:r>
      <w:r w:rsidRPr="001F30DC">
        <w:rPr>
          <w:rFonts w:ascii="ˎ̥" w:eastAsia="宋体" w:hAnsi="ˎ̥" w:cs="Arial"/>
          <w:color w:val="000000"/>
          <w:kern w:val="0"/>
          <w:szCs w:val="21"/>
        </w:rPr>
        <w:t>个月前，按照改变后的类别向食品药品监督管理部门申请延续注册或者办理备案。</w:t>
      </w:r>
      <w:r w:rsidRPr="001F30DC">
        <w:rPr>
          <w:rFonts w:ascii="ˎ̥" w:eastAsia="宋体" w:hAnsi="ˎ̥" w:cs="Arial"/>
          <w:color w:val="000000"/>
          <w:kern w:val="0"/>
          <w:sz w:val="18"/>
          <w:szCs w:val="18"/>
        </w:rPr>
        <w:br/>
      </w:r>
      <w:r w:rsidRPr="001F30DC">
        <w:rPr>
          <w:rFonts w:ascii="ˎ̥" w:eastAsia="宋体" w:hAnsi="ˎ̥" w:cs="Arial"/>
          <w:color w:val="000000"/>
          <w:kern w:val="0"/>
          <w:szCs w:val="21"/>
        </w:rPr>
        <w:lastRenderedPageBreak/>
        <w:t xml:space="preserve">　　体外诊断试剂管理类别由低类别调整为高类别的，注册人应当依照本办法第六章的规定，按照改变后的类别向食品药品监督管理部门申请注册。国家食品药品监督管理总局在管理类别调整通知中应当对完成调整的时限</w:t>
      </w:r>
      <w:proofErr w:type="gramStart"/>
      <w:r w:rsidRPr="001F30DC">
        <w:rPr>
          <w:rFonts w:ascii="ˎ̥" w:eastAsia="宋体" w:hAnsi="ˎ̥" w:cs="Arial"/>
          <w:color w:val="000000"/>
          <w:kern w:val="0"/>
          <w:szCs w:val="21"/>
        </w:rPr>
        <w:t>作出</w:t>
      </w:r>
      <w:proofErr w:type="gramEnd"/>
      <w:r w:rsidRPr="001F30DC">
        <w:rPr>
          <w:rFonts w:ascii="ˎ̥" w:eastAsia="宋体" w:hAnsi="ˎ̥" w:cs="Arial"/>
          <w:color w:val="000000"/>
          <w:kern w:val="0"/>
          <w:szCs w:val="21"/>
        </w:rPr>
        <w:t>规定。</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第七十七条　省、自治区、直辖市食品药品监督管理部门违反本办法规定实施体外诊断试剂注册的，由国家食品药品监督管理总局责令限期改正；逾期不改正的，国家食品药品监督管理总局可以直接公告撤销该医疗器械注册证。</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第七十八条　食品药品监督管理部门、相关技术机构及其工作人员，对申请人或者备案人提交的试验数据和技术秘密负有保密义务。</w:t>
      </w:r>
    </w:p>
    <w:p w:rsidR="001F30DC" w:rsidRPr="001F30DC" w:rsidRDefault="001F30DC" w:rsidP="001F30DC">
      <w:pPr>
        <w:widowControl/>
        <w:wordWrap w:val="0"/>
        <w:spacing w:before="100" w:beforeAutospacing="1" w:after="100" w:afterAutospacing="1" w:line="480" w:lineRule="auto"/>
        <w:jc w:val="center"/>
        <w:rPr>
          <w:rFonts w:ascii="ˎ̥" w:eastAsia="宋体" w:hAnsi="ˎ̥" w:cs="Arial" w:hint="eastAsia"/>
          <w:color w:val="000000"/>
          <w:kern w:val="0"/>
          <w:szCs w:val="21"/>
        </w:rPr>
      </w:pPr>
      <w:r w:rsidRPr="001F30DC">
        <w:rPr>
          <w:rFonts w:ascii="ˎ̥" w:eastAsia="宋体" w:hAnsi="ˎ̥" w:cs="Arial"/>
          <w:color w:val="000000"/>
          <w:kern w:val="0"/>
          <w:szCs w:val="21"/>
        </w:rPr>
        <w:t>第十一章　法律责任</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第七十九条　提供虚假资料或者采取其他欺骗手段取得医疗器械注册证的，按照《医疗器械监督管理条例》第六十四条第一款的规定予以处罚。</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备案时提供虚假资料的，按照《医疗器械监督管理条例》第六十五条第二款的规定予以处罚。</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第八十条　伪造、变造、买卖、出租、出借医疗器械注册证的，按照《医疗器械监督管理条例》第六十四条第二款的规定予以处罚。</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第八十一条　违反本办法规定，未依法办理第一类体外诊断试剂变更备案或者第二类、第三类体外诊断试剂注册登记事项变更的，按照《医疗器械监督管理条例》有关未备案的情形予以处罚。</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第八十二条　违反本办法规定，未依法办理体外诊断试剂注册许可事项变更的，按照《医疗器械监督管理条例》有关未取得医疗器械注册证的情形予以处罚。</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lastRenderedPageBreak/>
        <w:t xml:space="preserve">　　第八十三条　申请人未按照《医疗器械监督管理条例》和本办法规定开展临床试验的，由县级以上食品药品监督管理部门责令改正，可以处</w:t>
      </w:r>
      <w:r w:rsidRPr="001F30DC">
        <w:rPr>
          <w:rFonts w:ascii="ˎ̥" w:eastAsia="宋体" w:hAnsi="ˎ̥" w:cs="Arial"/>
          <w:color w:val="000000"/>
          <w:kern w:val="0"/>
          <w:szCs w:val="21"/>
        </w:rPr>
        <w:t>3</w:t>
      </w:r>
      <w:r w:rsidRPr="001F30DC">
        <w:rPr>
          <w:rFonts w:ascii="ˎ̥" w:eastAsia="宋体" w:hAnsi="ˎ̥" w:cs="Arial"/>
          <w:color w:val="000000"/>
          <w:kern w:val="0"/>
          <w:szCs w:val="21"/>
        </w:rPr>
        <w:t>万元以下罚款；情节严重的，应当立即停止临床试验。</w:t>
      </w:r>
    </w:p>
    <w:p w:rsidR="001F30DC" w:rsidRPr="001F30DC" w:rsidRDefault="001F30DC" w:rsidP="001F30DC">
      <w:pPr>
        <w:widowControl/>
        <w:wordWrap w:val="0"/>
        <w:spacing w:before="100" w:beforeAutospacing="1" w:after="100" w:afterAutospacing="1" w:line="480" w:lineRule="auto"/>
        <w:jc w:val="center"/>
        <w:rPr>
          <w:rFonts w:ascii="ˎ̥" w:eastAsia="宋体" w:hAnsi="ˎ̥" w:cs="Arial" w:hint="eastAsia"/>
          <w:color w:val="000000"/>
          <w:kern w:val="0"/>
          <w:szCs w:val="21"/>
        </w:rPr>
      </w:pPr>
      <w:r w:rsidRPr="001F30DC">
        <w:rPr>
          <w:rFonts w:ascii="ˎ̥" w:eastAsia="宋体" w:hAnsi="ˎ̥" w:cs="Arial"/>
          <w:color w:val="000000"/>
          <w:kern w:val="0"/>
          <w:szCs w:val="21"/>
        </w:rPr>
        <w:t>第十二章　附　则</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第八十四条　体外诊断试剂的注册或者备案单元应为单一试剂或者单一试剂盒，一个注册或者备案单元可以包括不同的包装规格。</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第八十五条　医疗器械注册证格式由国家食品药品监督管理总局统一制定。</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注册证编号的编排方式为：</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w:t>
      </w:r>
      <w:r w:rsidRPr="001F30DC">
        <w:rPr>
          <w:rFonts w:ascii="ˎ̥" w:eastAsia="宋体" w:hAnsi="ˎ̥" w:cs="Arial"/>
          <w:color w:val="000000"/>
          <w:kern w:val="0"/>
          <w:szCs w:val="21"/>
        </w:rPr>
        <w:t>×1</w:t>
      </w:r>
      <w:proofErr w:type="gramStart"/>
      <w:r w:rsidRPr="001F30DC">
        <w:rPr>
          <w:rFonts w:ascii="ˎ̥" w:eastAsia="宋体" w:hAnsi="ˎ̥" w:cs="Arial"/>
          <w:color w:val="000000"/>
          <w:kern w:val="0"/>
          <w:szCs w:val="21"/>
        </w:rPr>
        <w:t>械注</w:t>
      </w:r>
      <w:proofErr w:type="gramEnd"/>
      <w:r w:rsidRPr="001F30DC">
        <w:rPr>
          <w:rFonts w:ascii="ˎ̥" w:eastAsia="宋体" w:hAnsi="ˎ̥" w:cs="Arial"/>
          <w:color w:val="000000"/>
          <w:kern w:val="0"/>
          <w:szCs w:val="21"/>
        </w:rPr>
        <w:t>×2××××3×4××5××××6</w:t>
      </w:r>
      <w:r w:rsidRPr="001F30DC">
        <w:rPr>
          <w:rFonts w:ascii="ˎ̥" w:eastAsia="宋体" w:hAnsi="ˎ̥" w:cs="Arial"/>
          <w:color w:val="000000"/>
          <w:kern w:val="0"/>
          <w:szCs w:val="21"/>
        </w:rPr>
        <w:t>。其中：</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w:t>
      </w:r>
      <w:r w:rsidRPr="001F30DC">
        <w:rPr>
          <w:rFonts w:ascii="ˎ̥" w:eastAsia="宋体" w:hAnsi="ˎ̥" w:cs="Arial"/>
          <w:color w:val="000000"/>
          <w:kern w:val="0"/>
          <w:szCs w:val="21"/>
        </w:rPr>
        <w:t>×1</w:t>
      </w:r>
      <w:r w:rsidRPr="001F30DC">
        <w:rPr>
          <w:rFonts w:ascii="ˎ̥" w:eastAsia="宋体" w:hAnsi="ˎ̥" w:cs="Arial"/>
          <w:color w:val="000000"/>
          <w:kern w:val="0"/>
          <w:szCs w:val="21"/>
        </w:rPr>
        <w:t>为注册审批部门所在地的简称：</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境内第三类体外诊断试剂、进口第二类、第三类体外诊断试剂为</w:t>
      </w:r>
      <w:r w:rsidRPr="001F30DC">
        <w:rPr>
          <w:rFonts w:ascii="ˎ̥" w:eastAsia="宋体" w:hAnsi="ˎ̥" w:cs="Arial"/>
          <w:color w:val="000000"/>
          <w:kern w:val="0"/>
          <w:szCs w:val="21"/>
        </w:rPr>
        <w:t>“</w:t>
      </w:r>
      <w:r w:rsidRPr="001F30DC">
        <w:rPr>
          <w:rFonts w:ascii="ˎ̥" w:eastAsia="宋体" w:hAnsi="ˎ̥" w:cs="Arial"/>
          <w:color w:val="000000"/>
          <w:kern w:val="0"/>
          <w:szCs w:val="21"/>
        </w:rPr>
        <w:t>国</w:t>
      </w:r>
      <w:r w:rsidRPr="001F30DC">
        <w:rPr>
          <w:rFonts w:ascii="ˎ̥" w:eastAsia="宋体" w:hAnsi="ˎ̥" w:cs="Arial"/>
          <w:color w:val="000000"/>
          <w:kern w:val="0"/>
          <w:szCs w:val="21"/>
        </w:rPr>
        <w:t>”</w:t>
      </w:r>
      <w:r w:rsidRPr="001F30DC">
        <w:rPr>
          <w:rFonts w:ascii="ˎ̥" w:eastAsia="宋体" w:hAnsi="ˎ̥" w:cs="Arial"/>
          <w:color w:val="000000"/>
          <w:kern w:val="0"/>
          <w:szCs w:val="21"/>
        </w:rPr>
        <w:t>字；</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境内第二类体外诊断试剂为注册审批部门所在地省、自治区、直辖市简称；</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w:t>
      </w:r>
      <w:r w:rsidRPr="001F30DC">
        <w:rPr>
          <w:rFonts w:ascii="ˎ̥" w:eastAsia="宋体" w:hAnsi="ˎ̥" w:cs="Arial"/>
          <w:color w:val="000000"/>
          <w:kern w:val="0"/>
          <w:szCs w:val="21"/>
        </w:rPr>
        <w:t>×2</w:t>
      </w:r>
      <w:r w:rsidRPr="001F30DC">
        <w:rPr>
          <w:rFonts w:ascii="ˎ̥" w:eastAsia="宋体" w:hAnsi="ˎ̥" w:cs="Arial"/>
          <w:color w:val="000000"/>
          <w:kern w:val="0"/>
          <w:szCs w:val="21"/>
        </w:rPr>
        <w:t>为注册形式：</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w:t>
      </w:r>
      <w:r w:rsidRPr="001F30DC">
        <w:rPr>
          <w:rFonts w:ascii="ˎ̥" w:eastAsia="宋体" w:hAnsi="ˎ̥" w:cs="Arial"/>
          <w:color w:val="000000"/>
          <w:kern w:val="0"/>
          <w:szCs w:val="21"/>
        </w:rPr>
        <w:t>“</w:t>
      </w:r>
      <w:r w:rsidRPr="001F30DC">
        <w:rPr>
          <w:rFonts w:ascii="ˎ̥" w:eastAsia="宋体" w:hAnsi="ˎ̥" w:cs="Arial"/>
          <w:color w:val="000000"/>
          <w:kern w:val="0"/>
          <w:szCs w:val="21"/>
        </w:rPr>
        <w:t>准</w:t>
      </w:r>
      <w:r w:rsidRPr="001F30DC">
        <w:rPr>
          <w:rFonts w:ascii="ˎ̥" w:eastAsia="宋体" w:hAnsi="ˎ̥" w:cs="Arial"/>
          <w:color w:val="000000"/>
          <w:kern w:val="0"/>
          <w:szCs w:val="21"/>
        </w:rPr>
        <w:t>”</w:t>
      </w:r>
      <w:r w:rsidRPr="001F30DC">
        <w:rPr>
          <w:rFonts w:ascii="ˎ̥" w:eastAsia="宋体" w:hAnsi="ˎ̥" w:cs="Arial"/>
          <w:color w:val="000000"/>
          <w:kern w:val="0"/>
          <w:szCs w:val="21"/>
        </w:rPr>
        <w:t>字适用于境内体外诊断试剂；</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w:t>
      </w:r>
      <w:r w:rsidRPr="001F30DC">
        <w:rPr>
          <w:rFonts w:ascii="ˎ̥" w:eastAsia="宋体" w:hAnsi="ˎ̥" w:cs="Arial"/>
          <w:color w:val="000000"/>
          <w:kern w:val="0"/>
          <w:szCs w:val="21"/>
        </w:rPr>
        <w:t>“</w:t>
      </w:r>
      <w:r w:rsidRPr="001F30DC">
        <w:rPr>
          <w:rFonts w:ascii="ˎ̥" w:eastAsia="宋体" w:hAnsi="ˎ̥" w:cs="Arial"/>
          <w:color w:val="000000"/>
          <w:kern w:val="0"/>
          <w:szCs w:val="21"/>
        </w:rPr>
        <w:t>进</w:t>
      </w:r>
      <w:r w:rsidRPr="001F30DC">
        <w:rPr>
          <w:rFonts w:ascii="ˎ̥" w:eastAsia="宋体" w:hAnsi="ˎ̥" w:cs="Arial"/>
          <w:color w:val="000000"/>
          <w:kern w:val="0"/>
          <w:szCs w:val="21"/>
        </w:rPr>
        <w:t>”</w:t>
      </w:r>
      <w:r w:rsidRPr="001F30DC">
        <w:rPr>
          <w:rFonts w:ascii="ˎ̥" w:eastAsia="宋体" w:hAnsi="ˎ̥" w:cs="Arial"/>
          <w:color w:val="000000"/>
          <w:kern w:val="0"/>
          <w:szCs w:val="21"/>
        </w:rPr>
        <w:t>字适用于进口体外诊断试剂；</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w:t>
      </w:r>
      <w:r w:rsidRPr="001F30DC">
        <w:rPr>
          <w:rFonts w:ascii="ˎ̥" w:eastAsia="宋体" w:hAnsi="ˎ̥" w:cs="Arial"/>
          <w:color w:val="000000"/>
          <w:kern w:val="0"/>
          <w:szCs w:val="21"/>
        </w:rPr>
        <w:t>“</w:t>
      </w:r>
      <w:r w:rsidRPr="001F30DC">
        <w:rPr>
          <w:rFonts w:ascii="ˎ̥" w:eastAsia="宋体" w:hAnsi="ˎ̥" w:cs="Arial"/>
          <w:color w:val="000000"/>
          <w:kern w:val="0"/>
          <w:szCs w:val="21"/>
        </w:rPr>
        <w:t>许</w:t>
      </w:r>
      <w:r w:rsidRPr="001F30DC">
        <w:rPr>
          <w:rFonts w:ascii="ˎ̥" w:eastAsia="宋体" w:hAnsi="ˎ̥" w:cs="Arial"/>
          <w:color w:val="000000"/>
          <w:kern w:val="0"/>
          <w:szCs w:val="21"/>
        </w:rPr>
        <w:t>”</w:t>
      </w:r>
      <w:r w:rsidRPr="001F30DC">
        <w:rPr>
          <w:rFonts w:ascii="ˎ̥" w:eastAsia="宋体" w:hAnsi="ˎ̥" w:cs="Arial"/>
          <w:color w:val="000000"/>
          <w:kern w:val="0"/>
          <w:szCs w:val="21"/>
        </w:rPr>
        <w:t>字适用于香港、澳门、台湾地区的体外诊断试剂；</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w:t>
      </w:r>
      <w:r w:rsidRPr="001F30DC">
        <w:rPr>
          <w:rFonts w:ascii="ˎ̥" w:eastAsia="宋体" w:hAnsi="ˎ̥" w:cs="Arial"/>
          <w:color w:val="000000"/>
          <w:kern w:val="0"/>
          <w:szCs w:val="21"/>
        </w:rPr>
        <w:t>××××3</w:t>
      </w:r>
      <w:r w:rsidRPr="001F30DC">
        <w:rPr>
          <w:rFonts w:ascii="ˎ̥" w:eastAsia="宋体" w:hAnsi="ˎ̥" w:cs="Arial"/>
          <w:color w:val="000000"/>
          <w:kern w:val="0"/>
          <w:szCs w:val="21"/>
        </w:rPr>
        <w:t>为首次注册年份；</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w:t>
      </w:r>
      <w:r w:rsidRPr="001F30DC">
        <w:rPr>
          <w:rFonts w:ascii="ˎ̥" w:eastAsia="宋体" w:hAnsi="ˎ̥" w:cs="Arial"/>
          <w:color w:val="000000"/>
          <w:kern w:val="0"/>
          <w:szCs w:val="21"/>
        </w:rPr>
        <w:t>×4</w:t>
      </w:r>
      <w:r w:rsidRPr="001F30DC">
        <w:rPr>
          <w:rFonts w:ascii="ˎ̥" w:eastAsia="宋体" w:hAnsi="ˎ̥" w:cs="Arial"/>
          <w:color w:val="000000"/>
          <w:kern w:val="0"/>
          <w:szCs w:val="21"/>
        </w:rPr>
        <w:t>为产品管理类别；</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w:t>
      </w:r>
      <w:r w:rsidRPr="001F30DC">
        <w:rPr>
          <w:rFonts w:ascii="ˎ̥" w:eastAsia="宋体" w:hAnsi="ˎ̥" w:cs="Arial"/>
          <w:color w:val="000000"/>
          <w:kern w:val="0"/>
          <w:szCs w:val="21"/>
        </w:rPr>
        <w:t>××5</w:t>
      </w:r>
      <w:r w:rsidRPr="001F30DC">
        <w:rPr>
          <w:rFonts w:ascii="ˎ̥" w:eastAsia="宋体" w:hAnsi="ˎ̥" w:cs="Arial"/>
          <w:color w:val="000000"/>
          <w:kern w:val="0"/>
          <w:szCs w:val="21"/>
        </w:rPr>
        <w:t>为产品分类编码；</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w:t>
      </w:r>
      <w:r w:rsidRPr="001F30DC">
        <w:rPr>
          <w:rFonts w:ascii="ˎ̥" w:eastAsia="宋体" w:hAnsi="ˎ̥" w:cs="Arial"/>
          <w:color w:val="000000"/>
          <w:kern w:val="0"/>
          <w:szCs w:val="21"/>
        </w:rPr>
        <w:t>××××6</w:t>
      </w:r>
      <w:r w:rsidRPr="001F30DC">
        <w:rPr>
          <w:rFonts w:ascii="ˎ̥" w:eastAsia="宋体" w:hAnsi="ˎ̥" w:cs="Arial"/>
          <w:color w:val="000000"/>
          <w:kern w:val="0"/>
          <w:szCs w:val="21"/>
        </w:rPr>
        <w:t>为首次注册流水号。</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延续注册的，</w:t>
      </w:r>
      <w:r w:rsidRPr="001F30DC">
        <w:rPr>
          <w:rFonts w:ascii="ˎ̥" w:eastAsia="宋体" w:hAnsi="ˎ̥" w:cs="Arial"/>
          <w:color w:val="000000"/>
          <w:kern w:val="0"/>
          <w:szCs w:val="21"/>
        </w:rPr>
        <w:t>××××3</w:t>
      </w:r>
      <w:r w:rsidRPr="001F30DC">
        <w:rPr>
          <w:rFonts w:ascii="ˎ̥" w:eastAsia="宋体" w:hAnsi="ˎ̥" w:cs="Arial"/>
          <w:color w:val="000000"/>
          <w:kern w:val="0"/>
          <w:szCs w:val="21"/>
        </w:rPr>
        <w:t>和</w:t>
      </w:r>
      <w:r w:rsidRPr="001F30DC">
        <w:rPr>
          <w:rFonts w:ascii="ˎ̥" w:eastAsia="宋体" w:hAnsi="ˎ̥" w:cs="Arial"/>
          <w:color w:val="000000"/>
          <w:kern w:val="0"/>
          <w:szCs w:val="21"/>
        </w:rPr>
        <w:t>××××6</w:t>
      </w:r>
      <w:r w:rsidRPr="001F30DC">
        <w:rPr>
          <w:rFonts w:ascii="ˎ̥" w:eastAsia="宋体" w:hAnsi="ˎ̥" w:cs="Arial"/>
          <w:color w:val="000000"/>
          <w:kern w:val="0"/>
          <w:szCs w:val="21"/>
        </w:rPr>
        <w:t>数字不变。产品管理类别调整的，应当重新编号。</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lastRenderedPageBreak/>
        <w:t xml:space="preserve">　　第八十六条　第一类体外诊断试剂备案凭证编号的编排方式为：</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w:t>
      </w:r>
      <w:r w:rsidRPr="001F30DC">
        <w:rPr>
          <w:rFonts w:ascii="ˎ̥" w:eastAsia="宋体" w:hAnsi="ˎ̥" w:cs="Arial"/>
          <w:color w:val="000000"/>
          <w:kern w:val="0"/>
          <w:szCs w:val="21"/>
        </w:rPr>
        <w:t>×1</w:t>
      </w:r>
      <w:proofErr w:type="gramStart"/>
      <w:r w:rsidRPr="001F30DC">
        <w:rPr>
          <w:rFonts w:ascii="ˎ̥" w:eastAsia="宋体" w:hAnsi="ˎ̥" w:cs="Arial"/>
          <w:color w:val="000000"/>
          <w:kern w:val="0"/>
          <w:szCs w:val="21"/>
        </w:rPr>
        <w:t>械备</w:t>
      </w:r>
      <w:proofErr w:type="gramEnd"/>
      <w:r w:rsidRPr="001F30DC">
        <w:rPr>
          <w:rFonts w:ascii="ˎ̥" w:eastAsia="宋体" w:hAnsi="ˎ̥" w:cs="Arial"/>
          <w:color w:val="000000"/>
          <w:kern w:val="0"/>
          <w:szCs w:val="21"/>
        </w:rPr>
        <w:t>××××2××××3</w:t>
      </w:r>
      <w:r w:rsidRPr="001F30DC">
        <w:rPr>
          <w:rFonts w:ascii="ˎ̥" w:eastAsia="宋体" w:hAnsi="ˎ̥" w:cs="Arial"/>
          <w:color w:val="000000"/>
          <w:kern w:val="0"/>
          <w:szCs w:val="21"/>
        </w:rPr>
        <w:t>号。</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其中：</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w:t>
      </w:r>
      <w:r w:rsidRPr="001F30DC">
        <w:rPr>
          <w:rFonts w:ascii="ˎ̥" w:eastAsia="宋体" w:hAnsi="ˎ̥" w:cs="Arial"/>
          <w:color w:val="000000"/>
          <w:kern w:val="0"/>
          <w:szCs w:val="21"/>
        </w:rPr>
        <w:t>×1</w:t>
      </w:r>
      <w:r w:rsidRPr="001F30DC">
        <w:rPr>
          <w:rFonts w:ascii="ˎ̥" w:eastAsia="宋体" w:hAnsi="ˎ̥" w:cs="Arial"/>
          <w:color w:val="000000"/>
          <w:kern w:val="0"/>
          <w:szCs w:val="21"/>
        </w:rPr>
        <w:t>为备案部门所在地的简称：</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进口第一类体外诊断试剂为</w:t>
      </w:r>
      <w:r w:rsidRPr="001F30DC">
        <w:rPr>
          <w:rFonts w:ascii="ˎ̥" w:eastAsia="宋体" w:hAnsi="ˎ̥" w:cs="Arial"/>
          <w:color w:val="000000"/>
          <w:kern w:val="0"/>
          <w:szCs w:val="21"/>
        </w:rPr>
        <w:t>“</w:t>
      </w:r>
      <w:r w:rsidRPr="001F30DC">
        <w:rPr>
          <w:rFonts w:ascii="ˎ̥" w:eastAsia="宋体" w:hAnsi="ˎ̥" w:cs="Arial"/>
          <w:color w:val="000000"/>
          <w:kern w:val="0"/>
          <w:szCs w:val="21"/>
        </w:rPr>
        <w:t>国</w:t>
      </w:r>
      <w:r w:rsidRPr="001F30DC">
        <w:rPr>
          <w:rFonts w:ascii="ˎ̥" w:eastAsia="宋体" w:hAnsi="ˎ̥" w:cs="Arial"/>
          <w:color w:val="000000"/>
          <w:kern w:val="0"/>
          <w:szCs w:val="21"/>
        </w:rPr>
        <w:t>”</w:t>
      </w:r>
      <w:r w:rsidRPr="001F30DC">
        <w:rPr>
          <w:rFonts w:ascii="ˎ̥" w:eastAsia="宋体" w:hAnsi="ˎ̥" w:cs="Arial"/>
          <w:color w:val="000000"/>
          <w:kern w:val="0"/>
          <w:szCs w:val="21"/>
        </w:rPr>
        <w:t>字；</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境内第一类体外诊断试剂为备案部门所在地省、自治区、直辖市简称加所在地设区的市级行政区域的简称（无相应设区的市级行政区域时，仅为省、自治区、直辖市的简称）；</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w:t>
      </w:r>
      <w:r w:rsidRPr="001F30DC">
        <w:rPr>
          <w:rFonts w:ascii="ˎ̥" w:eastAsia="宋体" w:hAnsi="ˎ̥" w:cs="Arial"/>
          <w:color w:val="000000"/>
          <w:kern w:val="0"/>
          <w:szCs w:val="21"/>
        </w:rPr>
        <w:t>××××2</w:t>
      </w:r>
      <w:r w:rsidRPr="001F30DC">
        <w:rPr>
          <w:rFonts w:ascii="ˎ̥" w:eastAsia="宋体" w:hAnsi="ˎ̥" w:cs="Arial"/>
          <w:color w:val="000000"/>
          <w:kern w:val="0"/>
          <w:szCs w:val="21"/>
        </w:rPr>
        <w:t>为备案年份；</w:t>
      </w:r>
      <w:r w:rsidRPr="001F30DC">
        <w:rPr>
          <w:rFonts w:ascii="ˎ̥" w:eastAsia="宋体" w:hAnsi="ˎ̥" w:cs="Arial"/>
          <w:color w:val="000000"/>
          <w:kern w:val="0"/>
          <w:sz w:val="18"/>
          <w:szCs w:val="18"/>
        </w:rPr>
        <w:br/>
      </w:r>
      <w:r w:rsidRPr="001F30DC">
        <w:rPr>
          <w:rFonts w:ascii="ˎ̥" w:eastAsia="宋体" w:hAnsi="ˎ̥" w:cs="Arial"/>
          <w:color w:val="000000"/>
          <w:kern w:val="0"/>
          <w:szCs w:val="21"/>
        </w:rPr>
        <w:t xml:space="preserve">　　</w:t>
      </w:r>
      <w:r w:rsidRPr="001F30DC">
        <w:rPr>
          <w:rFonts w:ascii="ˎ̥" w:eastAsia="宋体" w:hAnsi="ˎ̥" w:cs="Arial"/>
          <w:color w:val="000000"/>
          <w:kern w:val="0"/>
          <w:szCs w:val="21"/>
        </w:rPr>
        <w:t>××××3</w:t>
      </w:r>
      <w:r w:rsidRPr="001F30DC">
        <w:rPr>
          <w:rFonts w:ascii="ˎ̥" w:eastAsia="宋体" w:hAnsi="ˎ̥" w:cs="Arial"/>
          <w:color w:val="000000"/>
          <w:kern w:val="0"/>
          <w:szCs w:val="21"/>
        </w:rPr>
        <w:t>为备案流水号。</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第八十七条　体外诊断试剂的应急审批和创新特别审批按照国家食品药品监督管理总局制定的医疗器械应急审批程序和创新医疗器械特别审批程序执行。</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第八十八条　根据工作需要，国家食品药品监督管理总局可以委托省、自治区、直辖市食品药品监督管理部门或者技术机构、相关社会组织承担体外诊断试剂注册有关的具体工作。</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第八十九条　体外诊断试剂注册收费项目、收费标准按照国务院财政、价格主管部门的有关规定执行。</w:t>
      </w:r>
    </w:p>
    <w:p w:rsidR="001F30DC" w:rsidRPr="001F30DC" w:rsidRDefault="001F30DC" w:rsidP="001F30DC">
      <w:pPr>
        <w:widowControl/>
        <w:wordWrap w:val="0"/>
        <w:spacing w:before="100" w:beforeAutospacing="1" w:after="100" w:afterAutospacing="1" w:line="480" w:lineRule="auto"/>
        <w:jc w:val="left"/>
        <w:rPr>
          <w:rFonts w:ascii="ˎ̥" w:eastAsia="宋体" w:hAnsi="ˎ̥" w:cs="Arial" w:hint="eastAsia"/>
          <w:color w:val="000000"/>
          <w:kern w:val="0"/>
          <w:szCs w:val="21"/>
        </w:rPr>
      </w:pPr>
      <w:r w:rsidRPr="001F30DC">
        <w:rPr>
          <w:rFonts w:ascii="ˎ̥" w:eastAsia="宋体" w:hAnsi="ˎ̥" w:cs="Arial"/>
          <w:color w:val="000000"/>
          <w:kern w:val="0"/>
          <w:szCs w:val="21"/>
        </w:rPr>
        <w:t xml:space="preserve">　　第九十条　本办法自</w:t>
      </w:r>
      <w:r w:rsidRPr="001F30DC">
        <w:rPr>
          <w:rFonts w:ascii="ˎ̥" w:eastAsia="宋体" w:hAnsi="ˎ̥" w:cs="Arial"/>
          <w:color w:val="000000"/>
          <w:kern w:val="0"/>
          <w:szCs w:val="21"/>
        </w:rPr>
        <w:t>2014</w:t>
      </w:r>
      <w:r w:rsidRPr="001F30DC">
        <w:rPr>
          <w:rFonts w:ascii="ˎ̥" w:eastAsia="宋体" w:hAnsi="ˎ̥" w:cs="Arial"/>
          <w:color w:val="000000"/>
          <w:kern w:val="0"/>
          <w:szCs w:val="21"/>
        </w:rPr>
        <w:t>年</w:t>
      </w:r>
      <w:r w:rsidRPr="001F30DC">
        <w:rPr>
          <w:rFonts w:ascii="ˎ̥" w:eastAsia="宋体" w:hAnsi="ˎ̥" w:cs="Arial"/>
          <w:color w:val="000000"/>
          <w:kern w:val="0"/>
          <w:szCs w:val="21"/>
        </w:rPr>
        <w:t>10</w:t>
      </w:r>
      <w:r w:rsidRPr="001F30DC">
        <w:rPr>
          <w:rFonts w:ascii="ˎ̥" w:eastAsia="宋体" w:hAnsi="ˎ̥" w:cs="Arial"/>
          <w:color w:val="000000"/>
          <w:kern w:val="0"/>
          <w:szCs w:val="21"/>
        </w:rPr>
        <w:t>月</w:t>
      </w:r>
      <w:r w:rsidRPr="001F30DC">
        <w:rPr>
          <w:rFonts w:ascii="ˎ̥" w:eastAsia="宋体" w:hAnsi="ˎ̥" w:cs="Arial"/>
          <w:color w:val="000000"/>
          <w:kern w:val="0"/>
          <w:szCs w:val="21"/>
        </w:rPr>
        <w:t>1</w:t>
      </w:r>
      <w:r w:rsidRPr="001F30DC">
        <w:rPr>
          <w:rFonts w:ascii="ˎ̥" w:eastAsia="宋体" w:hAnsi="ˎ̥" w:cs="Arial"/>
          <w:color w:val="000000"/>
          <w:kern w:val="0"/>
          <w:szCs w:val="21"/>
        </w:rPr>
        <w:t>日起施行。</w:t>
      </w:r>
      <w:r w:rsidRPr="001F30DC">
        <w:rPr>
          <w:rFonts w:ascii="ˎ̥" w:eastAsia="宋体" w:hAnsi="ˎ̥" w:cs="Arial"/>
          <w:color w:val="000000"/>
          <w:kern w:val="0"/>
          <w:szCs w:val="21"/>
        </w:rPr>
        <w:t xml:space="preserve"> </w:t>
      </w:r>
    </w:p>
    <w:p w:rsidR="0098640F" w:rsidRPr="001F30DC" w:rsidRDefault="0098640F" w:rsidP="001F30DC">
      <w:pPr>
        <w:widowControl/>
        <w:spacing w:line="480" w:lineRule="auto"/>
        <w:jc w:val="center"/>
        <w:rPr>
          <w:sz w:val="24"/>
        </w:rPr>
      </w:pPr>
    </w:p>
    <w:sectPr w:rsidR="0098640F" w:rsidRPr="001F30DC" w:rsidSect="006C30B6">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773B" w:rsidRDefault="0087773B" w:rsidP="009347A0">
      <w:r>
        <w:separator/>
      </w:r>
    </w:p>
  </w:endnote>
  <w:endnote w:type="continuationSeparator" w:id="0">
    <w:p w:rsidR="0087773B" w:rsidRDefault="0087773B" w:rsidP="009347A0">
      <w:r>
        <w:continuationSeparator/>
      </w:r>
    </w:p>
  </w:endnote>
</w:endnotes>
</file>

<file path=word/fontTable.xml><?xml version="1.0" encoding="utf-8"?>
<w:fonts xmlns:r="http://schemas.openxmlformats.org/officeDocument/2006/relationships" xmlns:w="http://schemas.openxmlformats.org/wordprocessingml/2006/main">
  <w:font w:name="华文中宋">
    <w:panose1 w:val="02010600040101010101"/>
    <w:charset w:val="86"/>
    <w:family w:val="auto"/>
    <w:pitch w:val="variable"/>
    <w:sig w:usb0="00000287" w:usb1="080F0000" w:usb2="00000010" w:usb3="00000000" w:csb0="0004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ˎ̥">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6024188"/>
      <w:docPartObj>
        <w:docPartGallery w:val="Page Numbers (Bottom of Page)"/>
        <w:docPartUnique/>
      </w:docPartObj>
    </w:sdtPr>
    <w:sdtContent>
      <w:p w:rsidR="006C30B6" w:rsidRDefault="00585807">
        <w:pPr>
          <w:pStyle w:val="a7"/>
          <w:jc w:val="right"/>
        </w:pPr>
        <w:r>
          <w:fldChar w:fldCharType="begin"/>
        </w:r>
        <w:r w:rsidR="006C30B6">
          <w:instrText>PAGE   \* MERGEFORMAT</w:instrText>
        </w:r>
        <w:r>
          <w:fldChar w:fldCharType="separate"/>
        </w:r>
        <w:r w:rsidR="00776A3C" w:rsidRPr="00776A3C">
          <w:rPr>
            <w:noProof/>
            <w:lang w:val="zh-CN"/>
          </w:rPr>
          <w:t>19</w:t>
        </w:r>
        <w:r>
          <w:fldChar w:fldCharType="end"/>
        </w:r>
      </w:p>
    </w:sdtContent>
  </w:sdt>
  <w:p w:rsidR="006C30B6" w:rsidRDefault="006C30B6">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773B" w:rsidRDefault="0087773B" w:rsidP="009347A0">
      <w:r>
        <w:separator/>
      </w:r>
    </w:p>
  </w:footnote>
  <w:footnote w:type="continuationSeparator" w:id="0">
    <w:p w:rsidR="0087773B" w:rsidRDefault="0087773B" w:rsidP="009347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347822"/>
    <w:multiLevelType w:val="hybridMultilevel"/>
    <w:tmpl w:val="319CB094"/>
    <w:lvl w:ilvl="0" w:tplc="B61601E6">
      <w:start w:val="1"/>
      <w:numFmt w:val="decimal"/>
      <w:lvlText w:val="%1）"/>
      <w:lvlJc w:val="left"/>
      <w:pPr>
        <w:ind w:left="675" w:hanging="390"/>
      </w:pPr>
      <w:rPr>
        <w:rFonts w:ascii="华文中宋" w:eastAsia="华文中宋" w:hAnsi="华文中宋" w:hint="default"/>
        <w:color w:val="auto"/>
        <w:sz w:val="24"/>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
    <w:nsid w:val="33C82D4C"/>
    <w:multiLevelType w:val="hybridMultilevel"/>
    <w:tmpl w:val="FF9C89F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EE864A5"/>
    <w:multiLevelType w:val="hybridMultilevel"/>
    <w:tmpl w:val="1284D616"/>
    <w:lvl w:ilvl="0" w:tplc="D8F27D80">
      <w:start w:val="1"/>
      <w:numFmt w:val="decimal"/>
      <w:lvlText w:val="%1）"/>
      <w:lvlJc w:val="left"/>
      <w:pPr>
        <w:ind w:left="960" w:hanging="72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3">
    <w:nsid w:val="6CC33639"/>
    <w:multiLevelType w:val="hybridMultilevel"/>
    <w:tmpl w:val="EC6A40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A3323"/>
    <w:rsid w:val="00005789"/>
    <w:rsid w:val="00016BB7"/>
    <w:rsid w:val="000553CE"/>
    <w:rsid w:val="00091531"/>
    <w:rsid w:val="000924AF"/>
    <w:rsid w:val="000B0ACD"/>
    <w:rsid w:val="000C12C9"/>
    <w:rsid w:val="000F0D73"/>
    <w:rsid w:val="000F5099"/>
    <w:rsid w:val="00100EF7"/>
    <w:rsid w:val="0010107C"/>
    <w:rsid w:val="001363E6"/>
    <w:rsid w:val="001568C0"/>
    <w:rsid w:val="00163B42"/>
    <w:rsid w:val="00184FE8"/>
    <w:rsid w:val="001A46A9"/>
    <w:rsid w:val="001B6BE7"/>
    <w:rsid w:val="001D5BBD"/>
    <w:rsid w:val="001E0109"/>
    <w:rsid w:val="001F30DC"/>
    <w:rsid w:val="001F7C8D"/>
    <w:rsid w:val="00221E7E"/>
    <w:rsid w:val="00232D3D"/>
    <w:rsid w:val="00253E12"/>
    <w:rsid w:val="00266870"/>
    <w:rsid w:val="002830D7"/>
    <w:rsid w:val="002A3323"/>
    <w:rsid w:val="002B22B8"/>
    <w:rsid w:val="002E7AC6"/>
    <w:rsid w:val="002F77CC"/>
    <w:rsid w:val="00315D7D"/>
    <w:rsid w:val="00323162"/>
    <w:rsid w:val="0033125B"/>
    <w:rsid w:val="00333F53"/>
    <w:rsid w:val="00334BD3"/>
    <w:rsid w:val="003740FC"/>
    <w:rsid w:val="00377A19"/>
    <w:rsid w:val="00383D49"/>
    <w:rsid w:val="003A1375"/>
    <w:rsid w:val="003A3F06"/>
    <w:rsid w:val="003E1218"/>
    <w:rsid w:val="003F0B1A"/>
    <w:rsid w:val="00416B59"/>
    <w:rsid w:val="004171BA"/>
    <w:rsid w:val="00436574"/>
    <w:rsid w:val="00442F7D"/>
    <w:rsid w:val="004640B6"/>
    <w:rsid w:val="0047094B"/>
    <w:rsid w:val="00474493"/>
    <w:rsid w:val="004E545D"/>
    <w:rsid w:val="004E57B0"/>
    <w:rsid w:val="005023F0"/>
    <w:rsid w:val="00505F31"/>
    <w:rsid w:val="00521035"/>
    <w:rsid w:val="00556815"/>
    <w:rsid w:val="00585807"/>
    <w:rsid w:val="005B0795"/>
    <w:rsid w:val="005F0625"/>
    <w:rsid w:val="00612C6B"/>
    <w:rsid w:val="00641DC9"/>
    <w:rsid w:val="006423CB"/>
    <w:rsid w:val="0064358E"/>
    <w:rsid w:val="00643B10"/>
    <w:rsid w:val="00654C5D"/>
    <w:rsid w:val="00691397"/>
    <w:rsid w:val="00693449"/>
    <w:rsid w:val="006C30B6"/>
    <w:rsid w:val="006C52D0"/>
    <w:rsid w:val="006D0066"/>
    <w:rsid w:val="00730ACA"/>
    <w:rsid w:val="00744DCD"/>
    <w:rsid w:val="00776A3C"/>
    <w:rsid w:val="00781AD2"/>
    <w:rsid w:val="0079675E"/>
    <w:rsid w:val="007B0691"/>
    <w:rsid w:val="007B1ACF"/>
    <w:rsid w:val="007C1DB8"/>
    <w:rsid w:val="007D7AA9"/>
    <w:rsid w:val="007E018C"/>
    <w:rsid w:val="00804FA1"/>
    <w:rsid w:val="008050E5"/>
    <w:rsid w:val="00822268"/>
    <w:rsid w:val="00832F3A"/>
    <w:rsid w:val="0087773B"/>
    <w:rsid w:val="008A5F73"/>
    <w:rsid w:val="008B127F"/>
    <w:rsid w:val="008D320C"/>
    <w:rsid w:val="008F6E9C"/>
    <w:rsid w:val="00900FC4"/>
    <w:rsid w:val="009347A0"/>
    <w:rsid w:val="009358EE"/>
    <w:rsid w:val="0098640F"/>
    <w:rsid w:val="0098736B"/>
    <w:rsid w:val="009C3837"/>
    <w:rsid w:val="00A04897"/>
    <w:rsid w:val="00A251E1"/>
    <w:rsid w:val="00A34942"/>
    <w:rsid w:val="00AA1911"/>
    <w:rsid w:val="00AB78BC"/>
    <w:rsid w:val="00AD1F10"/>
    <w:rsid w:val="00AD3141"/>
    <w:rsid w:val="00AF3F26"/>
    <w:rsid w:val="00B00718"/>
    <w:rsid w:val="00B03754"/>
    <w:rsid w:val="00B1408D"/>
    <w:rsid w:val="00B20CC9"/>
    <w:rsid w:val="00B22905"/>
    <w:rsid w:val="00B2663F"/>
    <w:rsid w:val="00B3083E"/>
    <w:rsid w:val="00B44F36"/>
    <w:rsid w:val="00B46038"/>
    <w:rsid w:val="00B57B00"/>
    <w:rsid w:val="00B60232"/>
    <w:rsid w:val="00B75B2A"/>
    <w:rsid w:val="00B8285C"/>
    <w:rsid w:val="00BA445E"/>
    <w:rsid w:val="00BF1D4F"/>
    <w:rsid w:val="00C10E76"/>
    <w:rsid w:val="00C35487"/>
    <w:rsid w:val="00C36BD6"/>
    <w:rsid w:val="00C403D0"/>
    <w:rsid w:val="00C44D0B"/>
    <w:rsid w:val="00C5400F"/>
    <w:rsid w:val="00C56658"/>
    <w:rsid w:val="00C61DF8"/>
    <w:rsid w:val="00C75526"/>
    <w:rsid w:val="00C909D0"/>
    <w:rsid w:val="00C9258C"/>
    <w:rsid w:val="00CA414E"/>
    <w:rsid w:val="00CD5DA1"/>
    <w:rsid w:val="00CE7945"/>
    <w:rsid w:val="00D063C6"/>
    <w:rsid w:val="00D252ED"/>
    <w:rsid w:val="00D446ED"/>
    <w:rsid w:val="00D936FB"/>
    <w:rsid w:val="00D95883"/>
    <w:rsid w:val="00DD7A09"/>
    <w:rsid w:val="00E01F46"/>
    <w:rsid w:val="00E16032"/>
    <w:rsid w:val="00E32495"/>
    <w:rsid w:val="00E43361"/>
    <w:rsid w:val="00E61553"/>
    <w:rsid w:val="00E8440A"/>
    <w:rsid w:val="00EA74CB"/>
    <w:rsid w:val="00EB6F90"/>
    <w:rsid w:val="00F31177"/>
    <w:rsid w:val="00F33D4E"/>
    <w:rsid w:val="00F50634"/>
    <w:rsid w:val="00F56622"/>
    <w:rsid w:val="00F678DA"/>
    <w:rsid w:val="00F7474F"/>
    <w:rsid w:val="00F83D29"/>
    <w:rsid w:val="00F85DAB"/>
    <w:rsid w:val="00FB2A8E"/>
    <w:rsid w:val="00FB61B4"/>
    <w:rsid w:val="00FD4D34"/>
    <w:rsid w:val="00FE25A9"/>
    <w:rsid w:val="00FF64B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580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98640F"/>
    <w:rPr>
      <w:b/>
      <w:bCs/>
    </w:rPr>
  </w:style>
  <w:style w:type="paragraph" w:styleId="a4">
    <w:name w:val="footnote text"/>
    <w:basedOn w:val="a"/>
    <w:link w:val="Char"/>
    <w:uiPriority w:val="99"/>
    <w:unhideWhenUsed/>
    <w:rsid w:val="009347A0"/>
    <w:pPr>
      <w:snapToGrid w:val="0"/>
      <w:jc w:val="left"/>
    </w:pPr>
    <w:rPr>
      <w:sz w:val="18"/>
      <w:szCs w:val="18"/>
    </w:rPr>
  </w:style>
  <w:style w:type="character" w:customStyle="1" w:styleId="Char">
    <w:name w:val="脚注文本 Char"/>
    <w:basedOn w:val="a0"/>
    <w:link w:val="a4"/>
    <w:uiPriority w:val="99"/>
    <w:rsid w:val="009347A0"/>
    <w:rPr>
      <w:sz w:val="18"/>
      <w:szCs w:val="18"/>
    </w:rPr>
  </w:style>
  <w:style w:type="character" w:styleId="a5">
    <w:name w:val="footnote reference"/>
    <w:basedOn w:val="a0"/>
    <w:uiPriority w:val="99"/>
    <w:semiHidden/>
    <w:unhideWhenUsed/>
    <w:rsid w:val="009347A0"/>
    <w:rPr>
      <w:vertAlign w:val="superscript"/>
    </w:rPr>
  </w:style>
  <w:style w:type="paragraph" w:styleId="a6">
    <w:name w:val="header"/>
    <w:basedOn w:val="a"/>
    <w:link w:val="Char0"/>
    <w:uiPriority w:val="99"/>
    <w:unhideWhenUsed/>
    <w:rsid w:val="002F77C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2F77CC"/>
    <w:rPr>
      <w:sz w:val="18"/>
      <w:szCs w:val="18"/>
    </w:rPr>
  </w:style>
  <w:style w:type="paragraph" w:styleId="a7">
    <w:name w:val="footer"/>
    <w:basedOn w:val="a"/>
    <w:link w:val="Char1"/>
    <w:uiPriority w:val="99"/>
    <w:unhideWhenUsed/>
    <w:rsid w:val="002F77CC"/>
    <w:pPr>
      <w:tabs>
        <w:tab w:val="center" w:pos="4153"/>
        <w:tab w:val="right" w:pos="8306"/>
      </w:tabs>
      <w:snapToGrid w:val="0"/>
      <w:jc w:val="left"/>
    </w:pPr>
    <w:rPr>
      <w:sz w:val="18"/>
      <w:szCs w:val="18"/>
    </w:rPr>
  </w:style>
  <w:style w:type="character" w:customStyle="1" w:styleId="Char1">
    <w:name w:val="页脚 Char"/>
    <w:basedOn w:val="a0"/>
    <w:link w:val="a7"/>
    <w:uiPriority w:val="99"/>
    <w:rsid w:val="002F77CC"/>
    <w:rPr>
      <w:sz w:val="18"/>
      <w:szCs w:val="18"/>
    </w:rPr>
  </w:style>
  <w:style w:type="character" w:styleId="a8">
    <w:name w:val="annotation reference"/>
    <w:basedOn w:val="a0"/>
    <w:uiPriority w:val="99"/>
    <w:semiHidden/>
    <w:unhideWhenUsed/>
    <w:rsid w:val="002F77CC"/>
    <w:rPr>
      <w:sz w:val="21"/>
      <w:szCs w:val="21"/>
    </w:rPr>
  </w:style>
  <w:style w:type="paragraph" w:styleId="a9">
    <w:name w:val="annotation text"/>
    <w:basedOn w:val="a"/>
    <w:link w:val="Char2"/>
    <w:uiPriority w:val="99"/>
    <w:unhideWhenUsed/>
    <w:rsid w:val="002F77CC"/>
    <w:pPr>
      <w:jc w:val="left"/>
    </w:pPr>
  </w:style>
  <w:style w:type="character" w:customStyle="1" w:styleId="Char2">
    <w:name w:val="批注文字 Char"/>
    <w:basedOn w:val="a0"/>
    <w:link w:val="a9"/>
    <w:uiPriority w:val="99"/>
    <w:rsid w:val="002F77CC"/>
  </w:style>
  <w:style w:type="paragraph" w:styleId="aa">
    <w:name w:val="annotation subject"/>
    <w:basedOn w:val="a9"/>
    <w:next w:val="a9"/>
    <w:link w:val="Char3"/>
    <w:uiPriority w:val="99"/>
    <w:semiHidden/>
    <w:unhideWhenUsed/>
    <w:rsid w:val="002F77CC"/>
    <w:rPr>
      <w:b/>
      <w:bCs/>
    </w:rPr>
  </w:style>
  <w:style w:type="character" w:customStyle="1" w:styleId="Char3">
    <w:name w:val="批注主题 Char"/>
    <w:basedOn w:val="Char2"/>
    <w:link w:val="aa"/>
    <w:uiPriority w:val="99"/>
    <w:semiHidden/>
    <w:rsid w:val="002F77CC"/>
    <w:rPr>
      <w:b/>
      <w:bCs/>
    </w:rPr>
  </w:style>
  <w:style w:type="paragraph" w:styleId="ab">
    <w:name w:val="Balloon Text"/>
    <w:basedOn w:val="a"/>
    <w:link w:val="Char4"/>
    <w:uiPriority w:val="99"/>
    <w:semiHidden/>
    <w:unhideWhenUsed/>
    <w:rsid w:val="002F77CC"/>
    <w:rPr>
      <w:sz w:val="18"/>
      <w:szCs w:val="18"/>
    </w:rPr>
  </w:style>
  <w:style w:type="character" w:customStyle="1" w:styleId="Char4">
    <w:name w:val="批注框文本 Char"/>
    <w:basedOn w:val="a0"/>
    <w:link w:val="ab"/>
    <w:uiPriority w:val="99"/>
    <w:semiHidden/>
    <w:rsid w:val="002F77CC"/>
    <w:rPr>
      <w:sz w:val="18"/>
      <w:szCs w:val="18"/>
    </w:rPr>
  </w:style>
  <w:style w:type="character" w:styleId="ac">
    <w:name w:val="Hyperlink"/>
    <w:basedOn w:val="a0"/>
    <w:uiPriority w:val="99"/>
    <w:semiHidden/>
    <w:unhideWhenUsed/>
    <w:rsid w:val="004E57B0"/>
    <w:rPr>
      <w:color w:val="0000FF"/>
      <w:u w:val="single"/>
    </w:rPr>
  </w:style>
  <w:style w:type="paragraph" w:styleId="ad">
    <w:name w:val="Normal (Web)"/>
    <w:basedOn w:val="a"/>
    <w:uiPriority w:val="99"/>
    <w:semiHidden/>
    <w:unhideWhenUsed/>
    <w:rsid w:val="006423CB"/>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98640F"/>
    <w:rPr>
      <w:b/>
      <w:bCs/>
    </w:rPr>
  </w:style>
  <w:style w:type="paragraph" w:styleId="a4">
    <w:name w:val="footnote text"/>
    <w:basedOn w:val="a"/>
    <w:link w:val="Char"/>
    <w:uiPriority w:val="99"/>
    <w:unhideWhenUsed/>
    <w:rsid w:val="009347A0"/>
    <w:pPr>
      <w:snapToGrid w:val="0"/>
      <w:jc w:val="left"/>
    </w:pPr>
    <w:rPr>
      <w:sz w:val="18"/>
      <w:szCs w:val="18"/>
    </w:rPr>
  </w:style>
  <w:style w:type="character" w:customStyle="1" w:styleId="Char">
    <w:name w:val="脚注文本 Char"/>
    <w:basedOn w:val="a0"/>
    <w:link w:val="a4"/>
    <w:uiPriority w:val="99"/>
    <w:rsid w:val="009347A0"/>
    <w:rPr>
      <w:sz w:val="18"/>
      <w:szCs w:val="18"/>
    </w:rPr>
  </w:style>
  <w:style w:type="character" w:styleId="a5">
    <w:name w:val="footnote reference"/>
    <w:basedOn w:val="a0"/>
    <w:uiPriority w:val="99"/>
    <w:semiHidden/>
    <w:unhideWhenUsed/>
    <w:rsid w:val="009347A0"/>
    <w:rPr>
      <w:vertAlign w:val="superscript"/>
    </w:rPr>
  </w:style>
  <w:style w:type="paragraph" w:styleId="a6">
    <w:name w:val="header"/>
    <w:basedOn w:val="a"/>
    <w:link w:val="Char0"/>
    <w:uiPriority w:val="99"/>
    <w:unhideWhenUsed/>
    <w:rsid w:val="002F77C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2F77CC"/>
    <w:rPr>
      <w:sz w:val="18"/>
      <w:szCs w:val="18"/>
    </w:rPr>
  </w:style>
  <w:style w:type="paragraph" w:styleId="a7">
    <w:name w:val="footer"/>
    <w:basedOn w:val="a"/>
    <w:link w:val="Char1"/>
    <w:uiPriority w:val="99"/>
    <w:unhideWhenUsed/>
    <w:rsid w:val="002F77CC"/>
    <w:pPr>
      <w:tabs>
        <w:tab w:val="center" w:pos="4153"/>
        <w:tab w:val="right" w:pos="8306"/>
      </w:tabs>
      <w:snapToGrid w:val="0"/>
      <w:jc w:val="left"/>
    </w:pPr>
    <w:rPr>
      <w:sz w:val="18"/>
      <w:szCs w:val="18"/>
    </w:rPr>
  </w:style>
  <w:style w:type="character" w:customStyle="1" w:styleId="Char1">
    <w:name w:val="页脚 Char"/>
    <w:basedOn w:val="a0"/>
    <w:link w:val="a7"/>
    <w:uiPriority w:val="99"/>
    <w:rsid w:val="002F77CC"/>
    <w:rPr>
      <w:sz w:val="18"/>
      <w:szCs w:val="18"/>
    </w:rPr>
  </w:style>
  <w:style w:type="character" w:styleId="a8">
    <w:name w:val="annotation reference"/>
    <w:basedOn w:val="a0"/>
    <w:uiPriority w:val="99"/>
    <w:semiHidden/>
    <w:unhideWhenUsed/>
    <w:rsid w:val="002F77CC"/>
    <w:rPr>
      <w:sz w:val="21"/>
      <w:szCs w:val="21"/>
    </w:rPr>
  </w:style>
  <w:style w:type="paragraph" w:styleId="a9">
    <w:name w:val="annotation text"/>
    <w:basedOn w:val="a"/>
    <w:link w:val="Char2"/>
    <w:uiPriority w:val="99"/>
    <w:unhideWhenUsed/>
    <w:rsid w:val="002F77CC"/>
    <w:pPr>
      <w:jc w:val="left"/>
    </w:pPr>
  </w:style>
  <w:style w:type="character" w:customStyle="1" w:styleId="Char2">
    <w:name w:val="批注文字 Char"/>
    <w:basedOn w:val="a0"/>
    <w:link w:val="a9"/>
    <w:uiPriority w:val="99"/>
    <w:rsid w:val="002F77CC"/>
  </w:style>
  <w:style w:type="paragraph" w:styleId="aa">
    <w:name w:val="annotation subject"/>
    <w:basedOn w:val="a9"/>
    <w:next w:val="a9"/>
    <w:link w:val="Char3"/>
    <w:uiPriority w:val="99"/>
    <w:semiHidden/>
    <w:unhideWhenUsed/>
    <w:rsid w:val="002F77CC"/>
    <w:rPr>
      <w:b/>
      <w:bCs/>
    </w:rPr>
  </w:style>
  <w:style w:type="character" w:customStyle="1" w:styleId="Char3">
    <w:name w:val="批注主题 Char"/>
    <w:basedOn w:val="Char2"/>
    <w:link w:val="aa"/>
    <w:uiPriority w:val="99"/>
    <w:semiHidden/>
    <w:rsid w:val="002F77CC"/>
    <w:rPr>
      <w:b/>
      <w:bCs/>
    </w:rPr>
  </w:style>
  <w:style w:type="paragraph" w:styleId="ab">
    <w:name w:val="Balloon Text"/>
    <w:basedOn w:val="a"/>
    <w:link w:val="Char4"/>
    <w:uiPriority w:val="99"/>
    <w:semiHidden/>
    <w:unhideWhenUsed/>
    <w:rsid w:val="002F77CC"/>
    <w:rPr>
      <w:sz w:val="18"/>
      <w:szCs w:val="18"/>
    </w:rPr>
  </w:style>
  <w:style w:type="character" w:customStyle="1" w:styleId="Char4">
    <w:name w:val="批注框文本 Char"/>
    <w:basedOn w:val="a0"/>
    <w:link w:val="ab"/>
    <w:uiPriority w:val="99"/>
    <w:semiHidden/>
    <w:rsid w:val="002F77CC"/>
    <w:rPr>
      <w:sz w:val="18"/>
      <w:szCs w:val="18"/>
    </w:rPr>
  </w:style>
  <w:style w:type="character" w:styleId="ac">
    <w:name w:val="Hyperlink"/>
    <w:basedOn w:val="a0"/>
    <w:uiPriority w:val="99"/>
    <w:semiHidden/>
    <w:unhideWhenUsed/>
    <w:rsid w:val="004E57B0"/>
    <w:rPr>
      <w:color w:val="0000FF"/>
      <w:u w:val="single"/>
    </w:rPr>
  </w:style>
  <w:style w:type="paragraph" w:styleId="ad">
    <w:name w:val="Normal (Web)"/>
    <w:basedOn w:val="a"/>
    <w:uiPriority w:val="99"/>
    <w:semiHidden/>
    <w:unhideWhenUsed/>
    <w:rsid w:val="006423C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1BC80E-061A-4325-942B-7C906AD2A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612</TotalTime>
  <Pages>20</Pages>
  <Words>1862</Words>
  <Characters>10616</Characters>
  <Application>Microsoft Office Word</Application>
  <DocSecurity>0</DocSecurity>
  <Lines>88</Lines>
  <Paragraphs>24</Paragraphs>
  <ScaleCrop>false</ScaleCrop>
  <Company/>
  <LinksUpToDate>false</LinksUpToDate>
  <CharactersWithSpaces>12454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吴翊</dc:creator>
  <cp:lastModifiedBy>吴翊</cp:lastModifiedBy>
  <cp:revision>141</cp:revision>
  <dcterms:created xsi:type="dcterms:W3CDTF">2014-08-01T08:01:00Z</dcterms:created>
  <dcterms:modified xsi:type="dcterms:W3CDTF">2017-06-19T08:18:00Z</dcterms:modified>
</cp:coreProperties>
</file>