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DE22">
      <w:pPr>
        <w:pStyle w:val="124"/>
        <w:framePr w:wrap="around"/>
        <w:rPr>
          <w:rFonts w:ascii="Times New Roman"/>
        </w:rPr>
      </w:pPr>
      <w:r>
        <w:rPr>
          <w:rFonts w:ascii="Times New Roman"/>
        </w:rPr>
        <w:t>ICS</w:t>
      </w:r>
      <w:r>
        <w:rPr>
          <w:rFonts w:ascii="Times New Roman" w:eastAsia="MS Gothic"/>
        </w:rPr>
        <w:t> </w:t>
      </w:r>
      <w:bookmarkStart w:id="0"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ascii="Times New Roman"/>
        </w:rPr>
        <w:t>11.040.50</w:t>
      </w:r>
      <w:r>
        <w:rPr>
          <w:rFonts w:ascii="Times New Roman"/>
        </w:rPr>
        <w:fldChar w:fldCharType="end"/>
      </w:r>
      <w:bookmarkEnd w:id="0"/>
    </w:p>
    <w:p w14:paraId="049897DA">
      <w:pPr>
        <w:pStyle w:val="124"/>
        <w:framePr w:wrap="around"/>
        <w:rPr>
          <w:rFonts w:ascii="Times New Roman"/>
        </w:rPr>
      </w:pPr>
      <w:bookmarkStart w:id="1" w:name="WXFLH"/>
      <w:r>
        <w:rPr>
          <w:rFonts w:ascii="Times New Roman"/>
        </w:rPr>
        <w:fldChar w:fldCharType="begin">
          <w:ffData>
            <w:name w:val="WXFLH"/>
            <w:enabled/>
            <w:calcOnExit w:val="0"/>
            <w:helpText w:type="text" w:val="请输入中国标准文献分类号："/>
            <w:textInput>
              <w:default w:val="CCS  C39"/>
            </w:textInput>
          </w:ffData>
        </w:fldChar>
      </w:r>
      <w:r>
        <w:rPr>
          <w:rFonts w:ascii="Times New Roman"/>
        </w:rPr>
        <w:instrText xml:space="preserve">FORMTEXT</w:instrText>
      </w:r>
      <w:r>
        <w:rPr>
          <w:rFonts w:ascii="Times New Roman"/>
        </w:rPr>
        <w:fldChar w:fldCharType="separate"/>
      </w:r>
      <w:r>
        <w:rPr>
          <w:rFonts w:ascii="Times New Roman"/>
        </w:rPr>
        <w:t>CCS  C39</w:t>
      </w:r>
      <w:r>
        <w:rPr>
          <w:rFonts w:ascii="Times New Roman"/>
        </w:rPr>
        <w:fldChar w:fldCharType="end"/>
      </w:r>
      <w:bookmarkEnd w:id="1"/>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303A3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14:paraId="161CFA1B">
            <w:pPr>
              <w:pStyle w:val="124"/>
              <w:framePr w:wrap="around"/>
              <w:rPr>
                <w:rFonts w:ascii="Times New Roman"/>
              </w:rPr>
            </w:pPr>
            <w:r>
              <w:rPr>
                <w:rFonts w:ascii="Times New Roman"/>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9"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14:paraId="3A53A06C">
                                  <w:pPr>
                                    <w:jc w:val="center"/>
                                  </w:pPr>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K4v7NUAAAAHAQAADwAAAAAAAAAB&#10;ACAAAAAiAAAAZHJzL2Rvd25yZXYueG1sUEsBAhQAFAAAAAgAh07iQOtCpPMTAgAAKwQAAA4AAAAA&#10;AAAAAQAgAAAAJAEAAGRycy9lMm9Eb2MueG1sUEsFBgAAAAAGAAYAWQEAAKkFAAAAAA==&#10;">
                      <v:fill on="t" focussize="0,0"/>
                      <v:stroke on="f"/>
                      <v:imagedata o:title=""/>
                      <o:lock v:ext="edit" aspectratio="f"/>
                      <v:textbox>
                        <w:txbxContent>
                          <w:p w14:paraId="3A53A06C">
                            <w:pPr>
                              <w:jc w:val="center"/>
                            </w:pPr>
                          </w:p>
                        </w:txbxContent>
                      </v:textbox>
                    </v:rect>
                  </w:pict>
                </mc:Fallback>
              </mc:AlternateContent>
            </w:r>
            <w:r>
              <w:rPr>
                <w:rFonts w:ascii="Times New Roman"/>
              </w:rPr>
              <w:fldChar w:fldCharType="begin">
                <w:ffData>
                  <w:name w:val="BAH"/>
                  <w:enabled/>
                  <w:calcOnExit w:val="0"/>
                  <w:textInput/>
                </w:ffData>
              </w:fldChar>
            </w:r>
            <w:bookmarkStart w:id="2"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2"/>
          </w:p>
        </w:tc>
      </w:tr>
    </w:tbl>
    <w:p w14:paraId="2526F117">
      <w:pPr>
        <w:pStyle w:val="67"/>
        <w:framePr w:wrap="around"/>
      </w:pPr>
      <w:bookmarkStart w:id="3" w:name="c1"/>
      <w:r>
        <w:fldChar w:fldCharType="begin">
          <w:ffData>
            <w:name w:val="c1"/>
            <w:enabled/>
            <w:calcOnExit w:val="0"/>
            <w:textInput>
              <w:maxLength w:val="2"/>
            </w:textInput>
          </w:ffData>
        </w:fldChar>
      </w:r>
      <w:r>
        <w:instrText xml:space="preserve"> FORMTEXT </w:instrText>
      </w:r>
      <w:r>
        <w:fldChar w:fldCharType="separate"/>
      </w:r>
      <w:r>
        <w:t>YY</w:t>
      </w:r>
      <w:r>
        <w:fldChar w:fldCharType="end"/>
      </w:r>
      <w:bookmarkEnd w:id="3"/>
    </w:p>
    <w:p w14:paraId="53BA2BA8">
      <w:pPr>
        <w:pStyle w:val="111"/>
        <w:framePr w:wrap="around"/>
        <w:rPr>
          <w:rFonts w:ascii="Times New Roman" w:hAnsi="Times New Roman"/>
        </w:rPr>
      </w:pPr>
      <w:r>
        <w:rPr>
          <w:rFonts w:ascii="Times New Roman" w:hAnsi="Times New Roman"/>
        </w:rPr>
        <w:t>中华人民共和国</w:t>
      </w:r>
      <w:bookmarkStart w:id="4" w:name="c2"/>
      <w:r>
        <w:rPr>
          <w:rFonts w:ascii="Times New Roman" w:hAnsi="Times New Roman"/>
        </w:rPr>
        <w:fldChar w:fldCharType="begin">
          <w:ffData>
            <w:name w:val="c2"/>
            <w:enabled/>
            <w:calcOnExit w:val="0"/>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医药</w:t>
      </w:r>
      <w:r>
        <w:rPr>
          <w:rFonts w:ascii="Times New Roman" w:hAnsi="Times New Roman"/>
        </w:rPr>
        <w:fldChar w:fldCharType="end"/>
      </w:r>
      <w:bookmarkEnd w:id="4"/>
      <w:r>
        <w:rPr>
          <w:rFonts w:ascii="Times New Roman" w:hAnsi="Times New Roman"/>
        </w:rPr>
        <w:t>行业标准</w:t>
      </w:r>
    </w:p>
    <w:p w14:paraId="1B5215B3">
      <w:pPr>
        <w:pStyle w:val="48"/>
        <w:framePr w:wrap="around"/>
        <w:rPr>
          <w:rFonts w:ascii="Times New Roman"/>
          <w:lang w:val="de-DE"/>
        </w:rPr>
      </w:pPr>
      <w:bookmarkStart w:id="5" w:name="StdNo0"/>
      <w:r>
        <w:rPr>
          <w:rFonts w:ascii="Times New Roman"/>
        </w:rPr>
        <w:fldChar w:fldCharType="begin">
          <w:ffData>
            <w:name w:val="StdNo0"/>
            <w:enabled/>
            <w:calcOnExit w:val="0"/>
            <w:textInput>
              <w:default w:val="XX"/>
              <w:maxLength w:val="2"/>
            </w:textInput>
          </w:ffData>
        </w:fldChar>
      </w:r>
      <w:r>
        <w:rPr>
          <w:rFonts w:ascii="Times New Roman"/>
          <w:lang w:val="de-DE"/>
        </w:rPr>
        <w:instrText xml:space="preserve"> FORMTEXT </w:instrText>
      </w:r>
      <w:r>
        <w:rPr>
          <w:rFonts w:ascii="Times New Roman"/>
        </w:rPr>
        <w:fldChar w:fldCharType="separate"/>
      </w:r>
      <w:r>
        <w:rPr>
          <w:rFonts w:ascii="Times New Roman"/>
          <w:lang w:val="de-DE"/>
        </w:rPr>
        <w:t>YY</w:t>
      </w:r>
      <w:r>
        <w:rPr>
          <w:rFonts w:ascii="Times New Roman"/>
        </w:rPr>
        <w:fldChar w:fldCharType="end"/>
      </w:r>
      <w:bookmarkEnd w:id="5"/>
      <w:r>
        <w:rPr>
          <w:rFonts w:ascii="Times New Roman"/>
          <w:lang w:val="de-DE"/>
        </w:rPr>
        <w:t xml:space="preserve">/T </w:t>
      </w:r>
      <w:bookmarkStart w:id="6" w:name="StdNo1"/>
      <w:r>
        <w:rPr>
          <w:rFonts w:ascii="Times New Roman"/>
        </w:rPr>
        <w:fldChar w:fldCharType="begin">
          <w:ffData>
            <w:name w:val="StdNo1"/>
            <w:enabled/>
            <w:calcOnExit w:val="0"/>
            <w:textInput>
              <w:default w:val="XXXXX"/>
            </w:textInput>
          </w:ffData>
        </w:fldChar>
      </w:r>
      <w:r>
        <w:rPr>
          <w:rFonts w:ascii="Times New Roman"/>
          <w:lang w:val="de-DE"/>
        </w:rPr>
        <w:instrText xml:space="preserve"> FORMTEXT </w:instrText>
      </w:r>
      <w:r>
        <w:rPr>
          <w:rFonts w:ascii="Times New Roman"/>
        </w:rPr>
        <w:fldChar w:fldCharType="separate"/>
      </w:r>
      <w:r>
        <w:rPr>
          <w:rFonts w:ascii="Times New Roman"/>
          <w:lang w:val="de-DE"/>
        </w:rPr>
        <w:t>XXXXX</w:t>
      </w:r>
      <w:r>
        <w:rPr>
          <w:rFonts w:ascii="Times New Roman"/>
        </w:rPr>
        <w:fldChar w:fldCharType="end"/>
      </w:r>
      <w:bookmarkEnd w:id="6"/>
      <w:r>
        <w:rPr>
          <w:rFonts w:ascii="Times New Roman"/>
          <w:lang w:val="de-DE"/>
        </w:rPr>
        <w:t>—</w:t>
      </w:r>
      <w:bookmarkStart w:id="7" w:name="StdNo2"/>
      <w:r>
        <w:rPr>
          <w:rFonts w:ascii="Times New Roman"/>
        </w:rPr>
        <w:fldChar w:fldCharType="begin">
          <w:ffData>
            <w:name w:val="StdNo2"/>
            <w:enabled/>
            <w:calcOnExit w:val="0"/>
            <w:textInput>
              <w:default w:val="XXXX"/>
              <w:maxLength w:val="4"/>
            </w:textInput>
          </w:ffData>
        </w:fldChar>
      </w:r>
      <w:r>
        <w:rPr>
          <w:rFonts w:ascii="Times New Roman"/>
          <w:lang w:val="de-DE"/>
        </w:rPr>
        <w:instrText xml:space="preserve"> FORMTEXT </w:instrText>
      </w:r>
      <w:r>
        <w:rPr>
          <w:rFonts w:ascii="Times New Roman"/>
        </w:rPr>
        <w:fldChar w:fldCharType="separate"/>
      </w:r>
      <w:r>
        <w:rPr>
          <w:rFonts w:ascii="Times New Roman"/>
          <w:lang w:val="de-DE"/>
        </w:rPr>
        <w:t>XXXX</w:t>
      </w:r>
      <w:r>
        <w:rPr>
          <w:rFonts w:ascii="Times New Roman"/>
        </w:rPr>
        <w:fldChar w:fldCharType="end"/>
      </w:r>
      <w:bookmarkEnd w:id="7"/>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433C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1F6CB47D">
            <w:pPr>
              <w:pStyle w:val="77"/>
              <w:framePr w:wrap="around"/>
              <w:rPr>
                <w:rFonts w:ascii="Times New Roman"/>
              </w:rPr>
            </w:pPr>
            <w:bookmarkStart w:id="8" w:name="DT"/>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tc>
      </w:tr>
    </w:tbl>
    <w:p w14:paraId="363C81B6">
      <w:pPr>
        <w:pStyle w:val="48"/>
        <w:framePr w:wrap="around"/>
        <w:rPr>
          <w:rFonts w:ascii="Times New Roman"/>
        </w:rPr>
      </w:pPr>
    </w:p>
    <w:p w14:paraId="5BD3B19B">
      <w:pPr>
        <w:pStyle w:val="48"/>
        <w:framePr w:wrap="around"/>
        <w:rPr>
          <w:rFonts w:ascii="Times New Roman"/>
        </w:rPr>
      </w:pPr>
    </w:p>
    <w:p w14:paraId="5C1D9D6D">
      <w:pPr>
        <w:pStyle w:val="79"/>
        <w:framePr w:wrap="around" w:x="1504" w:y="5528"/>
        <w:rPr>
          <w:rFonts w:ascii="Times New Roman"/>
        </w:rPr>
      </w:pPr>
      <w:r>
        <w:rPr>
          <w:rFonts w:ascii="Times New Roman"/>
        </w:rPr>
        <w:fldChar w:fldCharType="begin">
          <w:ffData>
            <w:name w:val="StdName"/>
            <w:enabled/>
            <w:calcOnExit w:val="0"/>
            <w:textInput>
              <w:default w:val="移动式磁共振成像设备安全性测试方法"/>
            </w:textInput>
          </w:ffData>
        </w:fldChar>
      </w:r>
      <w:bookmarkStart w:id="9" w:name="StdName"/>
      <w:r>
        <w:rPr>
          <w:rFonts w:ascii="Times New Roman"/>
        </w:rPr>
        <w:instrText xml:space="preserve"> FORMTEXT </w:instrText>
      </w:r>
      <w:r>
        <w:rPr>
          <w:rFonts w:ascii="Times New Roman"/>
        </w:rPr>
        <w:fldChar w:fldCharType="separate"/>
      </w:r>
      <w:r>
        <w:rPr>
          <w:rFonts w:ascii="Times New Roman"/>
        </w:rPr>
        <w:t>移动式磁共振成像设备安全性测试方法</w:t>
      </w:r>
      <w:r>
        <w:rPr>
          <w:rFonts w:ascii="Times New Roman"/>
        </w:rPr>
        <w:fldChar w:fldCharType="end"/>
      </w:r>
      <w:bookmarkEnd w:id="9"/>
    </w:p>
    <w:p w14:paraId="00C20468">
      <w:pPr>
        <w:pStyle w:val="80"/>
        <w:framePr w:wrap="around" w:x="1504" w:y="5528"/>
        <w:spacing w:before="0"/>
        <w:rPr>
          <w:rFonts w:eastAsia="宋体"/>
          <w:b/>
          <w:bCs/>
        </w:rPr>
      </w:pPr>
    </w:p>
    <w:p w14:paraId="18C8B9C8">
      <w:pPr>
        <w:pStyle w:val="81"/>
        <w:framePr w:wrap="around" w:x="1504" w:y="5528"/>
        <w:spacing w:before="0"/>
        <w:rPr>
          <w:rFonts w:ascii="Times New Roman"/>
        </w:rPr>
      </w:pPr>
      <w:bookmarkStart w:id="10" w:name="YZBS"/>
      <w:r>
        <w:rPr>
          <w:rFonts w:ascii="Times New Roman"/>
        </w:rPr>
        <w:fldChar w:fldCharType="begin">
          <w:ffData>
            <w:enabled/>
            <w:calcOnExit w:val="0"/>
            <w:textInput>
              <w:default w:val="Test methods for the safety of mobile magnetic resonance imaging equipment"/>
            </w:textInput>
          </w:ffData>
        </w:fldChar>
      </w:r>
      <w:r>
        <w:rPr>
          <w:rFonts w:ascii="Times New Roman"/>
        </w:rPr>
        <w:instrText xml:space="preserve"> FORMTEXT </w:instrText>
      </w:r>
      <w:r>
        <w:rPr>
          <w:rFonts w:ascii="Times New Roman"/>
        </w:rPr>
        <w:fldChar w:fldCharType="separate"/>
      </w:r>
      <w:r>
        <w:rPr>
          <w:rFonts w:ascii="Times New Roman"/>
        </w:rPr>
        <w:t>Test methods for the safety of mobile magnetic resonance imaging equipment</w:t>
      </w:r>
      <w:r>
        <w:rPr>
          <w:rFonts w:ascii="Times New Roman"/>
        </w:rPr>
        <w:fldChar w:fldCharType="end"/>
      </w:r>
      <w:bookmarkEnd w:id="10"/>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7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568AA69">
            <w:pPr>
              <w:pStyle w:val="82"/>
              <w:framePr w:wrap="around" w:x="1504" w:y="5528"/>
              <w:rPr>
                <w:rFonts w:ascii="Times New Roman"/>
              </w:rPr>
            </w:pPr>
            <w:r>
              <w:rPr>
                <w:rFonts w:ascii="Times New Roman"/>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635" t="0" r="0" b="0"/>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18276738">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9f34NcAAAALAQAADwAAAAAAAAABACAA&#10;AAAiAAAAZHJzL2Rvd25yZXYueG1sUEsBAhQAFAAAAAgAh07iQIOQhRYOAgAAKwQAAA4AAAAAAAAA&#10;AQAgAAAAJgEAAGRycy9lMm9Eb2MueG1sUEsFBgAAAAAGAAYAWQEAAKYFAAAAAA==&#10;">
                      <v:fill on="t" focussize="0,0"/>
                      <v:stroke on="f"/>
                      <v:imagedata o:title=""/>
                      <o:lock v:ext="edit" aspectratio="f"/>
                      <v:textbox>
                        <w:txbxContent>
                          <w:p w14:paraId="18276738">
                            <w:pPr>
                              <w:jc w:val="center"/>
                            </w:pPr>
                          </w:p>
                        </w:txbxContent>
                      </v:textbox>
                      <w10:anchorlock/>
                    </v:rect>
                  </w:pict>
                </mc:Fallback>
              </mc:AlternateContent>
            </w:r>
          </w:p>
        </w:tc>
      </w:tr>
      <w:tr w14:paraId="15602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5FDA25E5">
            <w:pPr>
              <w:pStyle w:val="83"/>
              <w:framePr w:wrap="around" w:x="1504" w:y="5528"/>
              <w:rPr>
                <w:rFonts w:ascii="Times New Roman"/>
              </w:rPr>
            </w:pPr>
            <w:r>
              <w:rPr>
                <w:rFonts w:ascii="Times New Roman"/>
                <w:sz w:val="24"/>
                <w:szCs w:val="36"/>
              </w:rPr>
              <w:t>（立项草案稿）</w:t>
            </w:r>
          </w:p>
        </w:tc>
      </w:tr>
    </w:tbl>
    <w:p w14:paraId="37A88224">
      <w:pPr>
        <w:pStyle w:val="131"/>
        <w:framePr w:wrap="around" w:hAnchor="page" w:x="1428"/>
      </w:pPr>
      <w:bookmarkStart w:id="11" w:name="FY"/>
      <w:r>
        <w:fldChar w:fldCharType="begin">
          <w:ffData>
            <w:name w:val="FY"/>
            <w:enabled/>
            <w:calcOnExit w:val="0"/>
            <w:textInput>
              <w:default w:val="XXXX"/>
              <w:maxLength w:val="4"/>
            </w:textInput>
          </w:ffData>
        </w:fldChar>
      </w:r>
      <w:r>
        <w:instrText xml:space="preserve"> FORMTEXT </w:instrText>
      </w:r>
      <w:r>
        <w:fldChar w:fldCharType="separate"/>
      </w:r>
      <w:r>
        <w:t>XXXX</w:t>
      </w:r>
      <w:r>
        <w:fldChar w:fldCharType="end"/>
      </w:r>
      <w:bookmarkEnd w:id="11"/>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12"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12"/>
      <w: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YdrPNYAAAALAQAADwAAAAAAAAABACAAAAAiAAAAZHJzL2Rv&#10;d25yZXYueG1sUEsBAhQAFAAAAAgAh07iQMa+7/TKAQAAoAMAAA4AAAAAAAAAAQAgAAAAJQEAAGRy&#10;cy9lMm9Eb2MueG1sUEsFBgAAAAAGAAYAWQEAAGEFAAAAAA==&#10;">
                <v:fill on="f" focussize="0,0"/>
                <v:stroke color="#000000" joinstyle="round"/>
                <v:imagedata o:title=""/>
                <o:lock v:ext="edit" aspectratio="f"/>
                <w10:anchorlock/>
              </v:line>
            </w:pict>
          </mc:Fallback>
        </mc:AlternateContent>
      </w:r>
    </w:p>
    <w:p w14:paraId="53E357B9">
      <w:pPr>
        <w:pStyle w:val="132"/>
        <w:framePr w:wrap="around" w:hAnchor="page" w:x="7236" w:y="14147"/>
      </w:pPr>
      <w:bookmarkStart w:id="13" w:name="SY"/>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bookmarkEnd w:id="13"/>
      <w:r>
        <w:t xml:space="preserve"> - </w:t>
      </w:r>
      <w:bookmarkStart w:id="14"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14"/>
      <w:r>
        <w:t xml:space="preserve"> - </w:t>
      </w:r>
      <w:bookmarkStart w:id="15"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15"/>
      <w:r>
        <w:t>实施</w:t>
      </w:r>
    </w:p>
    <w:p w14:paraId="0C500C57">
      <w:pPr>
        <w:pStyle w:val="112"/>
        <w:framePr w:wrap="around"/>
        <w:rPr>
          <w:rFonts w:ascii="Times New Roman"/>
        </w:rPr>
      </w:pPr>
      <w:r>
        <w:rPr>
          <w:rFonts w:ascii="Times New Roman"/>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635" t="635" r="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14:paraId="722D6F54">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17tbZAAAADQEAAA8AAAAAAAAAAQAg&#10;AAAAIgAAAGRycy9kb3ducmV2LnhtbFBLAQIUABQAAAAIAIdO4kBXXBOzDQIAACsEAAAOAAAAAAAA&#10;AAEAIAAAACgBAABkcnMvZTJvRG9jLnhtbFBLBQYAAAAABgAGAFkBAACnBQAAAAA=&#10;">
                <v:fill on="t" focussize="0,0"/>
                <v:stroke on="f"/>
                <v:imagedata o:title=""/>
                <o:lock v:ext="edit" aspectratio="f"/>
                <v:textbox>
                  <w:txbxContent>
                    <w:p w14:paraId="722D6F54">
                      <w:pPr>
                        <w:jc w:val="center"/>
                      </w:pPr>
                    </w:p>
                  </w:txbxContent>
                </v:textbox>
              </v:rect>
            </w:pict>
          </mc:Fallback>
        </mc:AlternateContent>
      </w:r>
      <w:r>
        <w:rPr>
          <w:rFonts w:ascii="Times New Roman"/>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3810" t="3810" r="0" b="0"/>
                <wp:wrapNone/>
                <wp:docPr id="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78AEAB4E">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8mKEdoAAAAPAQAADwAAAAAAAAAB&#10;ACAAAAAiAAAAZHJzL2Rvd25yZXYueG1sUEsBAhQAFAAAAAgAh07iQJ9lO+cOAgAAKwQAAA4AAAAA&#10;AAAAAQAgAAAAKQEAAGRycy9lMm9Eb2MueG1sUEsFBgAAAAAGAAYAWQEAAKkFAAAAAA==&#10;">
                <v:fill on="t" focussize="0,0"/>
                <v:stroke on="f"/>
                <v:imagedata o:title=""/>
                <o:lock v:ext="edit" aspectratio="f"/>
                <v:textbox>
                  <w:txbxContent>
                    <w:p w14:paraId="78AEAB4E">
                      <w:pPr>
                        <w:jc w:val="center"/>
                      </w:pPr>
                    </w:p>
                  </w:txbxContent>
                </v:textbox>
              </v:rect>
            </w:pict>
          </mc:Fallback>
        </mc:AlternateContent>
      </w:r>
      <w:r>
        <w:rPr>
          <w:rFonts w:ascii="Times New Roman"/>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11430" t="8255" r="12065" b="10795"/>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Gl/CrPIAQAAoAMAAA4AAAAAAAAAAQAgAAAAJwEAAGRy&#10;cy9lMm9Eb2MueG1sUEsFBgAAAAAGAAYAWQEAAGEFAAAAAA==&#10;">
                <v:fill on="f" focussize="0,0"/>
                <v:stroke color="#000000" joinstyle="round"/>
                <v:imagedata o:title=""/>
                <o:lock v:ext="edit" aspectratio="f"/>
              </v:line>
            </w:pict>
          </mc:Fallback>
        </mc:AlternateContent>
      </w:r>
      <w:bookmarkStart w:id="16" w:name="fm"/>
      <w:r>
        <w:rPr>
          <w:rFonts w:ascii="Times New Roman"/>
        </w:rPr>
        <w:fldChar w:fldCharType="begin">
          <w:ffData>
            <w:name w:val="fm"/>
            <w:enabled/>
            <w:calcOnExit w:val="0"/>
            <w:textInput>
              <w:default w:val="国家药品监督管理局"/>
            </w:textInput>
          </w:ffData>
        </w:fldChar>
      </w:r>
      <w:r>
        <w:rPr>
          <w:rFonts w:ascii="Times New Roman"/>
        </w:rPr>
        <w:instrText xml:space="preserve">FORMTEXT</w:instrText>
      </w:r>
      <w:r>
        <w:rPr>
          <w:rFonts w:ascii="Times New Roman"/>
        </w:rPr>
        <w:fldChar w:fldCharType="separate"/>
      </w:r>
      <w:r>
        <w:rPr>
          <w:rFonts w:ascii="Times New Roman"/>
        </w:rPr>
        <w:t>国家药品监督管理局</w:t>
      </w:r>
      <w:r>
        <w:rPr>
          <w:rFonts w:ascii="Times New Roman"/>
        </w:rPr>
        <w:fldChar w:fldCharType="end"/>
      </w:r>
      <w:bookmarkEnd w:id="16"/>
      <w:r>
        <w:rPr>
          <w:rFonts w:ascii="Times New Roman"/>
        </w:rPr>
        <w:t>   </w:t>
      </w:r>
      <w:r>
        <w:rPr>
          <w:rStyle w:val="74"/>
          <w:rFonts w:ascii="Times New Roman"/>
        </w:rPr>
        <w:t>发布</w:t>
      </w:r>
    </w:p>
    <w:p w14:paraId="4A27F7FA">
      <w:pPr>
        <w:pStyle w:val="23"/>
        <w:rPr>
          <w:rFonts w:ascii="Times New Roman"/>
        </w:rPr>
        <w:sectPr>
          <w:pgSz w:w="11906" w:h="16838"/>
          <w:pgMar w:top="567" w:right="850" w:bottom="1134" w:left="1418" w:header="0" w:footer="0" w:gutter="0"/>
          <w:pgNumType w:start="1"/>
          <w:cols w:space="425" w:num="1"/>
          <w:docGrid w:type="lines" w:linePitch="312" w:charSpace="0"/>
        </w:sectPr>
      </w:pPr>
    </w:p>
    <w:p w14:paraId="6565D009">
      <w:pPr>
        <w:pStyle w:val="51"/>
        <w:rPr>
          <w:rFonts w:ascii="Times New Roman"/>
        </w:rPr>
      </w:pPr>
      <w:bookmarkStart w:id="17" w:name="_Toc194795369"/>
      <w:bookmarkStart w:id="18" w:name="_Toc194417378"/>
      <w:bookmarkStart w:id="19" w:name="_Toc295905826"/>
      <w:r>
        <w:rPr>
          <w:rFonts w:ascii="Times New Roman"/>
        </w:rPr>
        <w:t>目</w:t>
      </w:r>
      <w:bookmarkStart w:id="20" w:name="BKML"/>
      <w:r>
        <w:rPr>
          <w:rFonts w:ascii="Times New Roman"/>
        </w:rPr>
        <w:t>  次</w:t>
      </w:r>
      <w:bookmarkEnd w:id="17"/>
      <w:bookmarkEnd w:id="18"/>
      <w:bookmarkEnd w:id="20"/>
    </w:p>
    <w:sdt>
      <w:sdtPr>
        <w:rPr>
          <w:rFonts w:ascii="Times New Roman" w:hAnsi="Times New Roman" w:eastAsia="宋体" w:cs="Times New Roman"/>
          <w:color w:val="auto"/>
          <w:kern w:val="2"/>
          <w:sz w:val="21"/>
          <w:szCs w:val="21"/>
          <w:lang w:val="zh-CN"/>
        </w:rPr>
        <w:id w:val="-1134479265"/>
        <w:docPartObj>
          <w:docPartGallery w:val="Table of Contents"/>
          <w:docPartUnique/>
        </w:docPartObj>
      </w:sdtPr>
      <w:sdtEndPr>
        <w:rPr>
          <w:rFonts w:ascii="Times New Roman" w:hAnsi="Times New Roman" w:eastAsia="宋体" w:cs="Times New Roman"/>
          <w:b/>
          <w:bCs/>
          <w:color w:val="auto"/>
          <w:kern w:val="2"/>
          <w:sz w:val="21"/>
          <w:szCs w:val="21"/>
          <w:lang w:val="zh-CN"/>
        </w:rPr>
      </w:sdtEndPr>
      <w:sdtContent>
        <w:p w14:paraId="50EEEABC">
          <w:pPr>
            <w:pStyle w:val="147"/>
            <w:rPr>
              <w:rFonts w:ascii="Times New Roman" w:hAnsi="Times New Roman" w:cs="Times New Roman"/>
            </w:rPr>
          </w:pPr>
        </w:p>
        <w:p w14:paraId="58D930AF">
          <w:pPr>
            <w:pStyle w:val="19"/>
            <w:spacing w:before="78" w:after="78"/>
            <w:rPr>
              <w:rFonts w:ascii="Times New Roman" w:eastAsiaTheme="minorEastAsia"/>
              <w:sz w:val="22"/>
              <w:szCs w:val="24"/>
              <w14:ligatures w14:val="standardContextual"/>
            </w:rPr>
          </w:pPr>
          <w:r>
            <w:rPr>
              <w:rFonts w:ascii="Times New Roman"/>
            </w:rPr>
            <w:fldChar w:fldCharType="begin"/>
          </w:r>
          <w:r>
            <w:rPr>
              <w:rFonts w:ascii="Times New Roman"/>
            </w:rPr>
            <w:instrText xml:space="preserve"> TOC \o "1-2" \h \z \u </w:instrText>
          </w:r>
          <w:r>
            <w:rPr>
              <w:rFonts w:ascii="Times New Roman"/>
            </w:rPr>
            <w:fldChar w:fldCharType="separate"/>
          </w:r>
          <w:r>
            <w:fldChar w:fldCharType="begin"/>
          </w:r>
          <w:r>
            <w:instrText xml:space="preserve"> HYPERLINK \l "_Toc194795370" </w:instrText>
          </w:r>
          <w:r>
            <w:fldChar w:fldCharType="separate"/>
          </w:r>
          <w:r>
            <w:rPr>
              <w:rStyle w:val="39"/>
              <w:rFonts w:ascii="Times New Roman"/>
            </w:rPr>
            <w:t>前  言</w:t>
          </w:r>
          <w:r>
            <w:rPr>
              <w:rFonts w:ascii="Times New Roman"/>
            </w:rPr>
            <w:tab/>
          </w:r>
          <w:r>
            <w:rPr>
              <w:rFonts w:ascii="Times New Roman"/>
            </w:rPr>
            <w:fldChar w:fldCharType="begin"/>
          </w:r>
          <w:r>
            <w:rPr>
              <w:rFonts w:ascii="Times New Roman"/>
            </w:rPr>
            <w:instrText xml:space="preserve"> PAGEREF _Toc194795370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25D96950">
          <w:pPr>
            <w:pStyle w:val="28"/>
            <w:rPr>
              <w:rFonts w:ascii="Times New Roman" w:eastAsiaTheme="minorEastAsia"/>
              <w:sz w:val="22"/>
              <w:szCs w:val="24"/>
              <w14:ligatures w14:val="standardContextual"/>
            </w:rPr>
          </w:pPr>
          <w:r>
            <w:fldChar w:fldCharType="begin"/>
          </w:r>
          <w:r>
            <w:instrText xml:space="preserve"> HYPERLINK \l "_Toc194795372" </w:instrText>
          </w:r>
          <w:r>
            <w:fldChar w:fldCharType="separate"/>
          </w:r>
          <w:r>
            <w:rPr>
              <w:rStyle w:val="39"/>
              <w:rFonts w:ascii="Times New Roman"/>
            </w:rPr>
            <w:t>1 范围</w:t>
          </w:r>
          <w:r>
            <w:rPr>
              <w:rFonts w:ascii="Times New Roman"/>
            </w:rPr>
            <w:tab/>
          </w:r>
          <w:r>
            <w:rPr>
              <w:rFonts w:ascii="Times New Roman"/>
            </w:rPr>
            <w:fldChar w:fldCharType="begin"/>
          </w:r>
          <w:r>
            <w:rPr>
              <w:rFonts w:ascii="Times New Roman"/>
            </w:rPr>
            <w:instrText xml:space="preserve"> PAGEREF _Toc194795372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0FAA203A">
          <w:pPr>
            <w:pStyle w:val="28"/>
            <w:rPr>
              <w:rFonts w:ascii="Times New Roman" w:eastAsiaTheme="minorEastAsia"/>
              <w:sz w:val="22"/>
              <w:szCs w:val="24"/>
              <w14:ligatures w14:val="standardContextual"/>
            </w:rPr>
          </w:pPr>
          <w:r>
            <w:fldChar w:fldCharType="begin"/>
          </w:r>
          <w:r>
            <w:instrText xml:space="preserve"> HYPERLINK \l "_Toc194795373" </w:instrText>
          </w:r>
          <w:r>
            <w:fldChar w:fldCharType="separate"/>
          </w:r>
          <w:r>
            <w:rPr>
              <w:rStyle w:val="39"/>
              <w:rFonts w:ascii="Times New Roman"/>
            </w:rPr>
            <w:t>2 规范性引用文件</w:t>
          </w:r>
          <w:r>
            <w:rPr>
              <w:rFonts w:ascii="Times New Roman"/>
            </w:rPr>
            <w:tab/>
          </w:r>
          <w:r>
            <w:rPr>
              <w:rFonts w:ascii="Times New Roman"/>
            </w:rPr>
            <w:fldChar w:fldCharType="begin"/>
          </w:r>
          <w:r>
            <w:rPr>
              <w:rFonts w:ascii="Times New Roman"/>
            </w:rPr>
            <w:instrText xml:space="preserve"> PAGEREF _Toc194795373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4568BA36">
          <w:pPr>
            <w:pStyle w:val="28"/>
            <w:rPr>
              <w:rFonts w:ascii="Times New Roman" w:eastAsiaTheme="minorEastAsia"/>
              <w:sz w:val="22"/>
              <w:szCs w:val="24"/>
              <w14:ligatures w14:val="standardContextual"/>
            </w:rPr>
          </w:pPr>
          <w:r>
            <w:fldChar w:fldCharType="begin"/>
          </w:r>
          <w:r>
            <w:instrText xml:space="preserve"> HYPERLINK \l "_Toc194795374" </w:instrText>
          </w:r>
          <w:r>
            <w:fldChar w:fldCharType="separate"/>
          </w:r>
          <w:r>
            <w:rPr>
              <w:rStyle w:val="39"/>
              <w:rFonts w:ascii="Times New Roman"/>
            </w:rPr>
            <w:t>3 术语和定义</w:t>
          </w:r>
          <w:r>
            <w:rPr>
              <w:rFonts w:ascii="Times New Roman"/>
            </w:rPr>
            <w:tab/>
          </w:r>
          <w:r>
            <w:rPr>
              <w:rFonts w:ascii="Times New Roman"/>
            </w:rPr>
            <w:fldChar w:fldCharType="begin"/>
          </w:r>
          <w:r>
            <w:rPr>
              <w:rFonts w:ascii="Times New Roman"/>
            </w:rPr>
            <w:instrText xml:space="preserve"> PAGEREF _Toc194795374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3DF6D4CB">
          <w:pPr>
            <w:pStyle w:val="28"/>
            <w:rPr>
              <w:rFonts w:ascii="Times New Roman" w:eastAsiaTheme="minorEastAsia"/>
              <w:sz w:val="22"/>
              <w:szCs w:val="24"/>
              <w14:ligatures w14:val="standardContextual"/>
            </w:rPr>
          </w:pPr>
          <w:r>
            <w:fldChar w:fldCharType="begin"/>
          </w:r>
          <w:r>
            <w:instrText xml:space="preserve"> HYPERLINK \l "_Toc194795375" </w:instrText>
          </w:r>
          <w:r>
            <w:fldChar w:fldCharType="separate"/>
          </w:r>
          <w:r>
            <w:rPr>
              <w:rStyle w:val="39"/>
              <w:rFonts w:ascii="Times New Roman"/>
            </w:rPr>
            <w:t>4 试验方法</w:t>
          </w:r>
          <w:r>
            <w:rPr>
              <w:rFonts w:ascii="Times New Roman"/>
            </w:rPr>
            <w:tab/>
          </w:r>
          <w:r>
            <w:rPr>
              <w:rFonts w:ascii="Times New Roman"/>
            </w:rPr>
            <w:fldChar w:fldCharType="begin"/>
          </w:r>
          <w:r>
            <w:rPr>
              <w:rFonts w:ascii="Times New Roman"/>
            </w:rPr>
            <w:instrText xml:space="preserve"> PAGEREF _Toc194795375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673A2710">
          <w:pPr>
            <w:pStyle w:val="28"/>
            <w:rPr>
              <w:rFonts w:ascii="Times New Roman"/>
            </w:rPr>
          </w:pPr>
          <w:r>
            <w:rPr>
              <w:rFonts w:ascii="Times New Roman"/>
            </w:rPr>
            <w:fldChar w:fldCharType="end"/>
          </w:r>
        </w:p>
      </w:sdtContent>
    </w:sdt>
    <w:p w14:paraId="32BAD51E">
      <w:pPr>
        <w:pStyle w:val="113"/>
        <w:rPr>
          <w:rFonts w:ascii="Times New Roman"/>
        </w:rPr>
      </w:pPr>
      <w:bookmarkStart w:id="21" w:name="_Toc194795370"/>
      <w:r>
        <w:rPr>
          <w:rFonts w:ascii="Times New Roman"/>
        </w:rPr>
        <w:t>前</w:t>
      </w:r>
      <w:bookmarkStart w:id="22" w:name="BKQY"/>
      <w:r>
        <w:rPr>
          <w:rFonts w:ascii="Times New Roman"/>
        </w:rPr>
        <w:t>  言</w:t>
      </w:r>
      <w:bookmarkEnd w:id="19"/>
      <w:bookmarkEnd w:id="21"/>
      <w:bookmarkEnd w:id="22"/>
    </w:p>
    <w:p w14:paraId="1D8370F9">
      <w:pPr>
        <w:pStyle w:val="23"/>
        <w:rPr>
          <w:rFonts w:ascii="Times New Roman"/>
        </w:rPr>
      </w:pPr>
    </w:p>
    <w:p w14:paraId="293D255C">
      <w:pPr>
        <w:pStyle w:val="23"/>
        <w:rPr>
          <w:rFonts w:ascii="Times New Roman"/>
        </w:rPr>
      </w:pPr>
      <w:r>
        <w:rPr>
          <w:rFonts w:ascii="Times New Roman"/>
        </w:rPr>
        <w:t>本文件按照GB/T 1.1－2020《标准化工作导则 第1部分：标准化文件的结构和起草规则》的规定起草。</w:t>
      </w:r>
    </w:p>
    <w:p w14:paraId="6A5C21CA">
      <w:pPr>
        <w:pStyle w:val="23"/>
        <w:rPr>
          <w:rFonts w:ascii="Times New Roman"/>
        </w:rPr>
      </w:pPr>
      <w:r>
        <w:rPr>
          <w:rFonts w:ascii="Times New Roman"/>
        </w:rPr>
        <w:t>请注意本文件的某些内容可能涉及专利。本文件的发布机构不承担识别专利的责任。</w:t>
      </w:r>
    </w:p>
    <w:p w14:paraId="1720EDF9">
      <w:pPr>
        <w:pStyle w:val="23"/>
        <w:rPr>
          <w:rFonts w:ascii="Times New Roman"/>
        </w:rPr>
      </w:pPr>
      <w:r>
        <w:rPr>
          <w:rFonts w:ascii="Times New Roman"/>
        </w:rPr>
        <w:t>本文件由国家药品监督管理局提出。</w:t>
      </w:r>
    </w:p>
    <w:p w14:paraId="4CE47175">
      <w:pPr>
        <w:pStyle w:val="23"/>
        <w:rPr>
          <w:rFonts w:ascii="Times New Roman"/>
        </w:rPr>
      </w:pPr>
      <w:r>
        <w:rPr>
          <w:rFonts w:ascii="Times New Roman"/>
        </w:rPr>
        <w:t>本文件由全国医用电器标准化技术委员会医用电子仪器分技术委员会（</w:t>
      </w:r>
      <w:r>
        <w:rPr>
          <w:rFonts w:ascii="Times New Roman"/>
          <w:sz w:val="20"/>
        </w:rPr>
        <w:t>SAC/TC10/SC5）</w:t>
      </w:r>
      <w:r>
        <w:rPr>
          <w:rFonts w:ascii="Times New Roman"/>
        </w:rPr>
        <w:t>归口。</w:t>
      </w:r>
    </w:p>
    <w:p w14:paraId="3D61D3B5">
      <w:pPr>
        <w:pStyle w:val="23"/>
        <w:rPr>
          <w:rFonts w:ascii="Times New Roman"/>
          <w:kern w:val="2"/>
          <w:szCs w:val="24"/>
        </w:rPr>
      </w:pPr>
      <w:r>
        <w:rPr>
          <w:rFonts w:ascii="Times New Roman"/>
          <w:kern w:val="2"/>
          <w:szCs w:val="24"/>
        </w:rPr>
        <w:t>本文件起草单位：</w:t>
      </w:r>
    </w:p>
    <w:p w14:paraId="1A5D95B9">
      <w:pPr>
        <w:pStyle w:val="23"/>
        <w:rPr>
          <w:rFonts w:ascii="Times New Roman"/>
        </w:rPr>
      </w:pPr>
      <w:r>
        <w:rPr>
          <w:rFonts w:ascii="Times New Roman"/>
        </w:rPr>
        <w:t>本文件主要起草人：</w:t>
      </w:r>
    </w:p>
    <w:p w14:paraId="3812A908">
      <w:pPr>
        <w:pStyle w:val="51"/>
        <w:rPr>
          <w:rFonts w:ascii="Times New Roman"/>
          <w:sz w:val="36"/>
          <w:szCs w:val="36"/>
        </w:rPr>
      </w:pPr>
      <w:bookmarkStart w:id="23" w:name="_Toc194414353"/>
      <w:bookmarkStart w:id="24" w:name="_Toc194795371"/>
      <w:bookmarkStart w:id="25" w:name="_Toc194417380"/>
      <w:bookmarkStart w:id="26" w:name="_Toc194413343"/>
      <w:bookmarkStart w:id="27" w:name="OLE_LINK2"/>
      <w:r>
        <w:rPr>
          <w:rFonts w:ascii="Times New Roman"/>
          <w:sz w:val="36"/>
          <w:szCs w:val="36"/>
        </w:rPr>
        <w:t>移动式磁共振成像设备安全性测试方法</w:t>
      </w:r>
      <w:bookmarkEnd w:id="23"/>
      <w:bookmarkEnd w:id="24"/>
      <w:bookmarkEnd w:id="25"/>
      <w:bookmarkEnd w:id="26"/>
      <w:bookmarkEnd w:id="27"/>
    </w:p>
    <w:p w14:paraId="321C9ED9">
      <w:pPr>
        <w:pStyle w:val="46"/>
        <w:spacing w:before="249" w:beforeLines="80" w:after="249" w:afterLines="80"/>
        <w:rPr>
          <w:rFonts w:ascii="Times New Roman"/>
        </w:rPr>
      </w:pPr>
      <w:bookmarkStart w:id="28" w:name="_Toc194795372"/>
      <w:r>
        <w:rPr>
          <w:rFonts w:ascii="Times New Roman"/>
        </w:rPr>
        <w:t>范围</w:t>
      </w:r>
      <w:bookmarkEnd w:id="28"/>
    </w:p>
    <w:p w14:paraId="0E279F21">
      <w:pPr>
        <w:pStyle w:val="23"/>
        <w:rPr>
          <w:rFonts w:ascii="Times New Roman"/>
          <w:szCs w:val="21"/>
        </w:rPr>
      </w:pPr>
      <w:r>
        <w:rPr>
          <w:rFonts w:ascii="Times New Roman"/>
          <w:szCs w:val="21"/>
        </w:rPr>
        <w:t>本文件规定了移动式医用磁共振成像设备（以下简称“磁共振设备”）安全性测试方法。</w:t>
      </w:r>
    </w:p>
    <w:p w14:paraId="23B68D77">
      <w:pPr>
        <w:pStyle w:val="23"/>
        <w:rPr>
          <w:rFonts w:ascii="Times New Roman"/>
          <w:szCs w:val="21"/>
        </w:rPr>
      </w:pPr>
      <w:r>
        <w:rPr>
          <w:rFonts w:ascii="Times New Roman"/>
          <w:szCs w:val="21"/>
        </w:rPr>
        <w:t>本文件适用于具有手动控制或电动控制移动装置的移动式磁共振成像设备。</w:t>
      </w:r>
    </w:p>
    <w:p w14:paraId="6370C3F4">
      <w:pPr>
        <w:pStyle w:val="46"/>
        <w:spacing w:before="249" w:beforeLines="80" w:after="249" w:afterLines="80"/>
        <w:rPr>
          <w:rFonts w:ascii="Times New Roman"/>
        </w:rPr>
      </w:pPr>
      <w:bookmarkStart w:id="29" w:name="_Toc194795373"/>
      <w:r>
        <w:rPr>
          <w:rFonts w:ascii="Times New Roman"/>
        </w:rPr>
        <w:t>规范性引用文件</w:t>
      </w:r>
      <w:bookmarkEnd w:id="29"/>
    </w:p>
    <w:p w14:paraId="4342FFFE">
      <w:pPr>
        <w:pStyle w:val="23"/>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895360">
      <w:pPr>
        <w:widowControl/>
        <w:ind w:firstLine="420" w:firstLineChars="200"/>
        <w:jc w:val="left"/>
        <w:rPr>
          <w:kern w:val="0"/>
          <w:szCs w:val="20"/>
        </w:rPr>
      </w:pPr>
      <w:r>
        <w:rPr>
          <w:kern w:val="0"/>
          <w:szCs w:val="20"/>
        </w:rPr>
        <w:t>GB 9706.1 医用电气设备 第1部分：基本安全和基本性能的通用要求</w:t>
      </w:r>
    </w:p>
    <w:p w14:paraId="61AA13D0">
      <w:pPr>
        <w:widowControl/>
        <w:ind w:firstLine="420" w:firstLineChars="200"/>
        <w:jc w:val="left"/>
        <w:rPr>
          <w:kern w:val="0"/>
          <w:szCs w:val="20"/>
        </w:rPr>
      </w:pPr>
      <w:r>
        <w:rPr>
          <w:kern w:val="0"/>
          <w:szCs w:val="20"/>
        </w:rPr>
        <w:t>YY 9706.233 医用电气设备 第2-33部分：医疗诊断用磁共振设备的基本安全和基本性能专用要求</w:t>
      </w:r>
    </w:p>
    <w:p w14:paraId="063424AB">
      <w:pPr>
        <w:widowControl/>
        <w:ind w:firstLine="420" w:firstLineChars="200"/>
        <w:jc w:val="left"/>
        <w:rPr>
          <w:kern w:val="0"/>
          <w:szCs w:val="20"/>
        </w:rPr>
      </w:pPr>
      <w:r>
        <w:rPr>
          <w:kern w:val="0"/>
          <w:szCs w:val="20"/>
        </w:rPr>
        <w:t>YY/T 0482医用磁共振成像设备 主要图像质量参数的测定</w:t>
      </w:r>
    </w:p>
    <w:p w14:paraId="423C799E">
      <w:pPr>
        <w:widowControl/>
        <w:ind w:firstLine="420" w:firstLineChars="200"/>
        <w:jc w:val="left"/>
        <w:rPr>
          <w:kern w:val="0"/>
          <w:szCs w:val="20"/>
        </w:rPr>
      </w:pPr>
      <w:r>
        <w:rPr>
          <w:kern w:val="0"/>
          <w:szCs w:val="20"/>
        </w:rPr>
        <w:t>YY/T 1840 医用磁共振成像设备通用技术条件</w:t>
      </w:r>
    </w:p>
    <w:p w14:paraId="7D525533">
      <w:pPr>
        <w:pStyle w:val="46"/>
        <w:spacing w:before="249" w:beforeLines="80" w:after="249" w:afterLines="80"/>
        <w:rPr>
          <w:rFonts w:ascii="Times New Roman"/>
        </w:rPr>
      </w:pPr>
      <w:bookmarkStart w:id="30" w:name="_Toc194795374"/>
      <w:r>
        <w:rPr>
          <w:rFonts w:ascii="Times New Roman"/>
        </w:rPr>
        <w:t>术语和定义</w:t>
      </w:r>
      <w:bookmarkEnd w:id="30"/>
    </w:p>
    <w:p w14:paraId="351E4E19">
      <w:pPr>
        <w:pStyle w:val="23"/>
        <w:rPr>
          <w:rFonts w:ascii="Times New Roman"/>
        </w:rPr>
      </w:pPr>
      <w:r>
        <w:rPr>
          <w:rFonts w:ascii="Times New Roman" w:eastAsiaTheme="minorEastAsia"/>
        </w:rPr>
        <w:t>GB 9706.1、YY 9706.233、</w:t>
      </w:r>
      <w:r>
        <w:rPr>
          <w:rFonts w:ascii="Times New Roman"/>
          <w:szCs w:val="21"/>
        </w:rPr>
        <w:t>YY/T 0482、以及YY/T 1840中界定的以及下列术语和定义适用于本文件。</w:t>
      </w:r>
    </w:p>
    <w:p w14:paraId="6707FC06">
      <w:pPr>
        <w:pStyle w:val="43"/>
        <w:ind w:left="0"/>
        <w:rPr>
          <w:rFonts w:ascii="Times New Roman"/>
        </w:rPr>
      </w:pPr>
      <w:bookmarkStart w:id="31" w:name="_Toc194413347"/>
      <w:bookmarkEnd w:id="31"/>
      <w:bookmarkStart w:id="32" w:name="_Toc194412345"/>
      <w:bookmarkEnd w:id="32"/>
      <w:bookmarkStart w:id="33" w:name="_Toc194410344"/>
      <w:bookmarkEnd w:id="33"/>
      <w:bookmarkStart w:id="34" w:name="_Toc194411344"/>
      <w:bookmarkEnd w:id="34"/>
      <w:bookmarkStart w:id="35" w:name="_Toc194416373"/>
      <w:bookmarkEnd w:id="35"/>
      <w:bookmarkStart w:id="36" w:name="_Toc194409342"/>
      <w:bookmarkEnd w:id="36"/>
      <w:bookmarkStart w:id="37" w:name="_Toc194414357"/>
      <w:bookmarkEnd w:id="37"/>
      <w:bookmarkStart w:id="38" w:name="_Toc194415362"/>
      <w:bookmarkEnd w:id="38"/>
      <w:bookmarkStart w:id="39" w:name="_Toc194413357"/>
      <w:bookmarkStart w:id="40" w:name="_Toc194414367"/>
      <w:r>
        <w:rPr>
          <w:rFonts w:ascii="Times New Roman"/>
        </w:rPr>
        <w:t>移动式磁共振成像设备 mobile magnetic resonance imaging equipment</w:t>
      </w:r>
      <w:bookmarkEnd w:id="39"/>
      <w:bookmarkEnd w:id="40"/>
    </w:p>
    <w:p w14:paraId="21B1B839">
      <w:pPr>
        <w:pStyle w:val="23"/>
        <w:rPr>
          <w:rFonts w:ascii="Times New Roman"/>
          <w:szCs w:val="21"/>
        </w:rPr>
      </w:pPr>
      <w:r>
        <w:rPr>
          <w:rFonts w:ascii="Times New Roman"/>
          <w:szCs w:val="21"/>
        </w:rPr>
        <w:t>具有手动控制或电动控制的移动装置，预期靠其自身的轮子或通过类似的方法从一个地方移到另个地方的磁共振成像设备。</w:t>
      </w:r>
    </w:p>
    <w:p w14:paraId="0D625EC2">
      <w:pPr>
        <w:pStyle w:val="43"/>
        <w:ind w:left="0"/>
        <w:rPr>
          <w:rFonts w:ascii="Times New Roman"/>
        </w:rPr>
      </w:pPr>
      <w:bookmarkStart w:id="41" w:name="_Toc194414368"/>
      <w:bookmarkStart w:id="42" w:name="_Toc194413358"/>
      <w:r>
        <w:rPr>
          <w:rFonts w:ascii="Times New Roman"/>
        </w:rPr>
        <w:t>移动装置 moving device</w:t>
      </w:r>
      <w:bookmarkEnd w:id="41"/>
      <w:bookmarkEnd w:id="42"/>
    </w:p>
    <w:p w14:paraId="4AE6BA22">
      <w:pPr>
        <w:pStyle w:val="23"/>
        <w:rPr>
          <w:rFonts w:ascii="Times New Roman"/>
        </w:rPr>
      </w:pPr>
      <w:r>
        <w:rPr>
          <w:rFonts w:ascii="Times New Roman"/>
          <w:szCs w:val="21"/>
        </w:rPr>
        <w:t>用于主磁体移动的运载装置</w:t>
      </w:r>
      <w:r>
        <w:rPr>
          <w:rFonts w:ascii="Times New Roman"/>
        </w:rPr>
        <w:t>。</w:t>
      </w:r>
    </w:p>
    <w:p w14:paraId="687D76DC">
      <w:pPr>
        <w:pStyle w:val="43"/>
        <w:ind w:left="0"/>
        <w:rPr>
          <w:rFonts w:ascii="Times New Roman"/>
        </w:rPr>
      </w:pPr>
      <w:r>
        <w:rPr>
          <w:rFonts w:ascii="Times New Roman"/>
        </w:rPr>
        <w:t>移动式 mobile</w:t>
      </w:r>
    </w:p>
    <w:p w14:paraId="408943E9">
      <w:pPr>
        <w:pStyle w:val="23"/>
        <w:rPr>
          <w:rFonts w:ascii="Times New Roman"/>
        </w:rPr>
      </w:pPr>
      <w:r>
        <w:rPr>
          <w:rFonts w:ascii="Times New Roman"/>
        </w:rPr>
        <w:t>可转移的设备安装和放置投入使用后,</w:t>
      </w:r>
      <w:bookmarkStart w:id="43" w:name="_Hlk194795115"/>
      <w:r>
        <w:rPr>
          <w:rFonts w:ascii="Times New Roman"/>
        </w:rPr>
        <w:t>预期靠其自身的轮子或通过类似的方法从一个地方移到另个地方</w:t>
      </w:r>
      <w:bookmarkEnd w:id="43"/>
      <w:r>
        <w:rPr>
          <w:rFonts w:ascii="Times New Roman"/>
        </w:rPr>
        <w:t>。</w:t>
      </w:r>
    </w:p>
    <w:p w14:paraId="3CAFFB89">
      <w:pPr>
        <w:pStyle w:val="46"/>
        <w:spacing w:before="249" w:beforeLines="80" w:after="249" w:afterLines="80"/>
        <w:rPr>
          <w:rFonts w:ascii="Times New Roman"/>
        </w:rPr>
      </w:pPr>
      <w:bookmarkStart w:id="44" w:name="_Toc194414369"/>
      <w:bookmarkEnd w:id="44"/>
      <w:bookmarkStart w:id="45" w:name="_Toc194416385"/>
      <w:bookmarkEnd w:id="45"/>
      <w:bookmarkStart w:id="46" w:name="_Toc194415374"/>
      <w:bookmarkEnd w:id="46"/>
      <w:bookmarkStart w:id="47" w:name="_Toc194417384"/>
      <w:bookmarkEnd w:id="47"/>
      <w:bookmarkStart w:id="48" w:name="_Toc194795375"/>
      <w:r>
        <w:rPr>
          <w:rFonts w:ascii="Times New Roman"/>
        </w:rPr>
        <w:t>试验方法</w:t>
      </w:r>
      <w:bookmarkEnd w:id="48"/>
    </w:p>
    <w:p w14:paraId="7B1F562F">
      <w:pPr>
        <w:pStyle w:val="43"/>
        <w:ind w:left="0"/>
        <w:rPr>
          <w:rFonts w:ascii="Times New Roman"/>
        </w:rPr>
      </w:pPr>
      <w:bookmarkStart w:id="49" w:name="_Toc194414626"/>
      <w:bookmarkStart w:id="50" w:name="_Hlk196655660"/>
      <w:r>
        <w:rPr>
          <w:rFonts w:ascii="Times New Roman"/>
        </w:rPr>
        <w:t>机械安全</w:t>
      </w:r>
      <w:bookmarkEnd w:id="49"/>
    </w:p>
    <w:p w14:paraId="68A116E4">
      <w:pPr>
        <w:pStyle w:val="23"/>
        <w:rPr>
          <w:rFonts w:hint="eastAsia"/>
        </w:rPr>
      </w:pPr>
      <w:r>
        <w:rPr>
          <w:rFonts w:ascii="Times New Roman"/>
        </w:rPr>
        <w:t>移动装置机械安全包括制动力、启动力、移动方式、移动速度以及承重。</w:t>
      </w:r>
    </w:p>
    <w:p w14:paraId="7051B8D8">
      <w:pPr>
        <w:pStyle w:val="47"/>
        <w:spacing w:before="156" w:after="156"/>
        <w:ind w:left="0"/>
      </w:pPr>
      <w:r>
        <w:rPr>
          <w:rFonts w:hint="eastAsia"/>
        </w:rPr>
        <w:t>试验条件</w:t>
      </w:r>
    </w:p>
    <w:p w14:paraId="70DD68A1">
      <w:pPr>
        <w:pStyle w:val="23"/>
      </w:pPr>
      <w:r>
        <w:rPr>
          <w:rFonts w:hint="eastAsia"/>
        </w:rPr>
        <w:t>设备按照说明书规定的使用环境条件进行测试，如温度：25℃±5℃；相对湿度：30%</w:t>
      </w:r>
      <w:r>
        <w:rPr>
          <w:rFonts w:ascii="Times New Roman"/>
        </w:rPr>
        <w:t>~</w:t>
      </w:r>
      <w:r>
        <w:rPr>
          <w:rFonts w:hint="eastAsia"/>
        </w:rPr>
        <w:t>70%</w:t>
      </w:r>
    </w:p>
    <w:p w14:paraId="53DD5C5F">
      <w:pPr>
        <w:pStyle w:val="47"/>
        <w:spacing w:before="156" w:after="156"/>
        <w:ind w:left="0"/>
      </w:pPr>
      <w:r>
        <w:rPr>
          <w:rFonts w:hint="eastAsia"/>
        </w:rPr>
        <w:t>仪器设备</w:t>
      </w:r>
    </w:p>
    <w:p w14:paraId="0EA3B87A">
      <w:pPr>
        <w:pStyle w:val="23"/>
      </w:pPr>
      <w:r>
        <w:rPr>
          <w:rFonts w:hint="eastAsia"/>
        </w:rPr>
        <w:t>使用校准过的测力计、长度量具、时间量具等</w:t>
      </w:r>
    </w:p>
    <w:p w14:paraId="78F5641D">
      <w:pPr>
        <w:pStyle w:val="47"/>
        <w:spacing w:before="156" w:after="156"/>
        <w:ind w:left="0"/>
        <w:rPr>
          <w:rFonts w:hint="eastAsia"/>
        </w:rPr>
      </w:pPr>
      <w:r>
        <w:rPr>
          <w:rFonts w:hint="eastAsia"/>
        </w:rPr>
        <w:t>试验方法</w:t>
      </w:r>
    </w:p>
    <w:bookmarkEnd w:id="50"/>
    <w:p w14:paraId="3F0878B1">
      <w:pPr>
        <w:pStyle w:val="23"/>
        <w:rPr>
          <w:rFonts w:ascii="Times New Roman"/>
        </w:rPr>
      </w:pPr>
      <w:r>
        <w:rPr>
          <w:rFonts w:ascii="Times New Roman"/>
        </w:rPr>
        <w:t>a）</w:t>
      </w:r>
      <w:r>
        <w:rPr>
          <w:rFonts w:hint="eastAsia" w:ascii="Times New Roman"/>
          <w:lang w:val="en-US" w:eastAsia="zh-CN"/>
        </w:rPr>
        <w:t>制动力：</w:t>
      </w:r>
      <w:r>
        <w:rPr>
          <w:rFonts w:ascii="Times New Roman"/>
        </w:rPr>
        <w:t>将设备置于水平地面，启动轮锁或制动装置，用测力计测量其制动力</w:t>
      </w:r>
      <w:r>
        <w:rPr>
          <w:rFonts w:hint="eastAsia" w:ascii="Times New Roman"/>
        </w:rPr>
        <w:t>，分别测量5次，取最大值</w:t>
      </w:r>
      <w:r>
        <w:rPr>
          <w:rFonts w:ascii="Times New Roman"/>
        </w:rPr>
        <w:t>。</w:t>
      </w:r>
    </w:p>
    <w:p w14:paraId="7AB3F437">
      <w:pPr>
        <w:pStyle w:val="23"/>
        <w:rPr>
          <w:rFonts w:ascii="Times New Roman"/>
        </w:rPr>
      </w:pPr>
      <w:r>
        <w:rPr>
          <w:rFonts w:ascii="Times New Roman"/>
        </w:rPr>
        <w:t>b）</w:t>
      </w:r>
      <w:r>
        <w:rPr>
          <w:rFonts w:hint="eastAsia" w:ascii="Times New Roman"/>
          <w:lang w:val="en-US" w:eastAsia="zh-CN"/>
        </w:rPr>
        <w:t>启动力：</w:t>
      </w:r>
      <w:r>
        <w:rPr>
          <w:rFonts w:ascii="Times New Roman"/>
        </w:rPr>
        <w:t>将设备置于水平地面，解除轮锁或制动装置，用测力计测量其启动力</w:t>
      </w:r>
      <w:r>
        <w:rPr>
          <w:rFonts w:hint="eastAsia" w:ascii="Times New Roman"/>
        </w:rPr>
        <w:t>，分别测量5次，取最大值</w:t>
      </w:r>
      <w:r>
        <w:rPr>
          <w:rFonts w:ascii="Times New Roman"/>
        </w:rPr>
        <w:t>。</w:t>
      </w:r>
    </w:p>
    <w:p w14:paraId="47D3BF92">
      <w:pPr>
        <w:pStyle w:val="23"/>
        <w:rPr>
          <w:rFonts w:ascii="Times New Roman"/>
        </w:rPr>
      </w:pPr>
      <w:r>
        <w:rPr>
          <w:rFonts w:ascii="Times New Roman"/>
        </w:rPr>
        <w:t>c）移动方式：实际操作检查移动方式为手动移动或电动移动。</w:t>
      </w:r>
    </w:p>
    <w:p w14:paraId="518AE2C3">
      <w:pPr>
        <w:pStyle w:val="23"/>
        <w:rPr>
          <w:rFonts w:ascii="Times New Roman"/>
        </w:rPr>
      </w:pPr>
      <w:r>
        <w:rPr>
          <w:rFonts w:ascii="Times New Roman"/>
        </w:rPr>
        <w:t>d）移动速度：若适用，移动方式为电动的设备，将移动装置速度设置为最大，通过长度量具和时间量具测量，计算最大运行速度</w:t>
      </w:r>
      <w:r>
        <w:rPr>
          <w:rFonts w:hint="eastAsia" w:ascii="Times New Roman"/>
        </w:rPr>
        <w:t>；分别测量5次，取最大值</w:t>
      </w:r>
      <w:r>
        <w:rPr>
          <w:rFonts w:ascii="Times New Roman"/>
        </w:rPr>
        <w:t>。</w:t>
      </w:r>
    </w:p>
    <w:p w14:paraId="717C1E76">
      <w:pPr>
        <w:pStyle w:val="23"/>
        <w:rPr>
          <w:rFonts w:ascii="Times New Roman"/>
        </w:rPr>
      </w:pPr>
      <w:r>
        <w:rPr>
          <w:rFonts w:ascii="Times New Roman"/>
        </w:rPr>
        <w:t>e）承重：分别在移动状态和扫描状态下，将磁共振设备的满载状态（临床环境中可能同时使用的最重线圈组合和最大的负载质量）按照最不利的方式放置在患者支撑部件上，维持5分钟。</w:t>
      </w:r>
    </w:p>
    <w:p w14:paraId="0013EED9">
      <w:pPr>
        <w:pStyle w:val="23"/>
        <w:rPr>
          <w:rFonts w:hint="eastAsia"/>
        </w:rPr>
      </w:pPr>
    </w:p>
    <w:p w14:paraId="0F05C1EE">
      <w:pPr>
        <w:pStyle w:val="43"/>
        <w:ind w:left="0"/>
        <w:rPr>
          <w:rFonts w:ascii="Times New Roman"/>
        </w:rPr>
      </w:pPr>
      <w:bookmarkStart w:id="51" w:name="_Toc194414627"/>
      <w:bookmarkStart w:id="52" w:name="_Hlk196502345"/>
      <w:r>
        <w:rPr>
          <w:rFonts w:ascii="Times New Roman"/>
        </w:rPr>
        <w:t>定位准确性</w:t>
      </w:r>
      <w:bookmarkEnd w:id="51"/>
    </w:p>
    <w:p w14:paraId="60265371">
      <w:pPr>
        <w:pStyle w:val="23"/>
        <w:rPr>
          <w:rFonts w:ascii="Times New Roman"/>
        </w:rPr>
      </w:pPr>
      <w:r>
        <w:rPr>
          <w:rFonts w:ascii="Times New Roman"/>
        </w:rPr>
        <w:t>移动装置的定位准确性包括长度指示精度和长度重复定位精度。</w:t>
      </w:r>
    </w:p>
    <w:p w14:paraId="12942821">
      <w:pPr>
        <w:pStyle w:val="23"/>
        <w:rPr>
          <w:rFonts w:ascii="Times New Roman"/>
        </w:rPr>
      </w:pPr>
      <w:r>
        <w:rPr>
          <w:rFonts w:ascii="Times New Roman"/>
        </w:rPr>
        <w:t>移动装置往某一方向移动一个设定值，并且通过实际移动的距离来评价长度指示精度。</w:t>
      </w:r>
    </w:p>
    <w:p w14:paraId="6F671C6D">
      <w:pPr>
        <w:pStyle w:val="23"/>
        <w:rPr>
          <w:rFonts w:ascii="Times New Roman"/>
        </w:rPr>
      </w:pPr>
      <w:r>
        <w:rPr>
          <w:rFonts w:hint="eastAsia" w:ascii="Times New Roman"/>
        </w:rPr>
        <w:t>往</w:t>
      </w:r>
      <w:r>
        <w:rPr>
          <w:rFonts w:ascii="Times New Roman"/>
        </w:rPr>
        <w:t>某一方向移动，然后再回到原来的起始位置的准确度为长度重复定位精度。</w:t>
      </w:r>
    </w:p>
    <w:p w14:paraId="12313137">
      <w:pPr>
        <w:pStyle w:val="47"/>
        <w:spacing w:before="156" w:after="156"/>
        <w:ind w:left="0"/>
        <w:rPr>
          <w:rFonts w:ascii="Times New Roman"/>
        </w:rPr>
      </w:pPr>
      <w:r>
        <w:rPr>
          <w:rFonts w:hint="eastAsia" w:ascii="Times New Roman"/>
        </w:rPr>
        <w:t>试验条件</w:t>
      </w:r>
    </w:p>
    <w:p w14:paraId="50629CF9">
      <w:pPr>
        <w:pStyle w:val="23"/>
      </w:pPr>
      <w:r>
        <w:rPr>
          <w:rFonts w:hint="eastAsia"/>
        </w:rPr>
        <w:t>设备按照说明书规定的使用环境条件进行测试，如温度：25℃±5℃；相对湿度：30%~70%</w:t>
      </w:r>
    </w:p>
    <w:p w14:paraId="75484070">
      <w:pPr>
        <w:pStyle w:val="47"/>
        <w:spacing w:before="156" w:after="156"/>
        <w:ind w:left="0"/>
        <w:rPr>
          <w:rFonts w:ascii="Times New Roman"/>
        </w:rPr>
      </w:pPr>
      <w:r>
        <w:rPr>
          <w:rFonts w:hint="eastAsia" w:ascii="Times New Roman"/>
        </w:rPr>
        <w:t>仪器设备</w:t>
      </w:r>
    </w:p>
    <w:p w14:paraId="4640FD15">
      <w:pPr>
        <w:pStyle w:val="23"/>
      </w:pPr>
      <w:r>
        <w:rPr>
          <w:rFonts w:hint="eastAsia"/>
        </w:rPr>
        <w:t>使用校准过的长度量具</w:t>
      </w:r>
    </w:p>
    <w:p w14:paraId="65BEC162">
      <w:pPr>
        <w:pStyle w:val="47"/>
        <w:spacing w:before="156" w:after="156"/>
        <w:ind w:left="0"/>
        <w:rPr>
          <w:rFonts w:hint="eastAsia"/>
        </w:rPr>
      </w:pPr>
      <w:r>
        <w:rPr>
          <w:rFonts w:hint="eastAsia"/>
        </w:rPr>
        <w:t>试验方法</w:t>
      </w:r>
    </w:p>
    <w:bookmarkEnd w:id="52"/>
    <w:p w14:paraId="3F1698DD">
      <w:pPr>
        <w:pStyle w:val="56"/>
        <w:numPr>
          <w:ilvl w:val="3"/>
          <w:numId w:val="2"/>
        </w:numPr>
        <w:spacing w:before="156" w:after="156"/>
      </w:pPr>
      <w:r>
        <w:t>长度指示精度</w:t>
      </w:r>
    </w:p>
    <w:p w14:paraId="45D728C7">
      <w:pPr>
        <w:pStyle w:val="23"/>
        <w:rPr>
          <w:rFonts w:ascii="Times New Roman"/>
        </w:rPr>
      </w:pPr>
      <w:r>
        <w:rPr>
          <w:rFonts w:ascii="Times New Roman"/>
        </w:rPr>
        <w:t>若适用，具有电动控制及距离指示功能的移动装置，分别在空载、满载状态下，将初始位置处标记为标记点1，从这个位置上连续移动一段距离L</w:t>
      </w:r>
      <w:r>
        <w:rPr>
          <w:rFonts w:ascii="Times New Roman"/>
          <w:vertAlign w:val="subscript"/>
        </w:rPr>
        <w:t>1</w:t>
      </w:r>
      <w:r>
        <w:rPr>
          <w:rFonts w:ascii="Times New Roman"/>
        </w:rPr>
        <w:t>(其中L</w:t>
      </w:r>
      <w:r>
        <w:rPr>
          <w:rFonts w:hint="eastAsia" w:ascii="Times New Roman"/>
          <w:vertAlign w:val="subscript"/>
        </w:rPr>
        <w:t>1</w:t>
      </w:r>
      <w:r>
        <w:rPr>
          <w:rFonts w:ascii="Times New Roman"/>
        </w:rPr>
        <w:t>=100cm或最大可选的位置上)处标记为标记点2，测量标记点1和标记点2的距离L</w:t>
      </w:r>
      <w:r>
        <w:rPr>
          <w:rFonts w:ascii="Times New Roman"/>
          <w:vertAlign w:val="subscript"/>
        </w:rPr>
        <w:t>2</w:t>
      </w:r>
      <w:r>
        <w:rPr>
          <w:rFonts w:hint="eastAsia" w:ascii="Times New Roman"/>
        </w:rPr>
        <w:t>（如图1所示）</w:t>
      </w:r>
      <w:r>
        <w:rPr>
          <w:rFonts w:ascii="Times New Roman"/>
        </w:rPr>
        <w:t>，计算L</w:t>
      </w:r>
      <w:r>
        <w:rPr>
          <w:rFonts w:ascii="Times New Roman"/>
          <w:vertAlign w:val="subscript"/>
        </w:rPr>
        <w:t>1</w:t>
      </w:r>
      <w:r>
        <w:rPr>
          <w:rFonts w:ascii="Times New Roman"/>
        </w:rPr>
        <w:t>和L</w:t>
      </w:r>
      <w:r>
        <w:rPr>
          <w:rFonts w:ascii="Times New Roman"/>
          <w:vertAlign w:val="subscript"/>
        </w:rPr>
        <w:t>2</w:t>
      </w:r>
      <w:r>
        <w:rPr>
          <w:rFonts w:ascii="Times New Roman"/>
        </w:rPr>
        <w:t>的偏差。</w:t>
      </w:r>
    </w:p>
    <w:p w14:paraId="2ABBF9F5">
      <w:pPr>
        <w:pStyle w:val="23"/>
        <w:rPr>
          <w:rFonts w:ascii="Times New Roman"/>
          <w:i/>
        </w:rPr>
      </w:pPr>
      <m:oMathPara>
        <m:oMath>
          <m:r>
            <m:rPr>
              <m:sty m:val="p"/>
            </m:rPr>
            <w:rPr>
              <w:rFonts w:ascii="Cambria Math" w:hAnsi="Cambria Math" w:eastAsia="Cambria Math"/>
            </w:rPr>
            <m:t>∆</m:t>
          </m:r>
          <m:r>
            <m:rPr/>
            <w:rPr>
              <w:rFonts w:ascii="Cambria Math" w:hAnsi="Cambria Math" w:eastAsia="Cambria Math"/>
            </w:rPr>
            <m:t>L=</m:t>
          </m:r>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2</m:t>
              </m:r>
              <m:ctrlPr>
                <w:rPr>
                  <w:rFonts w:ascii="Cambria Math" w:hAnsi="Cambria Math"/>
                </w:rPr>
              </m:ctrlPr>
            </m:sub>
          </m:sSub>
        </m:oMath>
      </m:oMathPara>
    </w:p>
    <w:p w14:paraId="0B19F9FD">
      <w:pPr>
        <w:pStyle w:val="23"/>
        <w:ind w:firstLine="1365" w:firstLineChars="650"/>
        <w:rPr>
          <w:rFonts w:ascii="Times New Roman"/>
          <w:i/>
          <w:u w:val="single"/>
        </w:rPr>
      </w:pPr>
      <w:r>
        <mc:AlternateContent>
          <mc:Choice Requires="wps">
            <w:drawing>
              <wp:anchor distT="0" distB="0" distL="114300" distR="114300" simplePos="0" relativeHeight="251669504" behindDoc="0" locked="0" layoutInCell="1" allowOverlap="1">
                <wp:simplePos x="0" y="0"/>
                <wp:positionH relativeFrom="column">
                  <wp:posOffset>2844800</wp:posOffset>
                </wp:positionH>
                <wp:positionV relativeFrom="paragraph">
                  <wp:posOffset>537845</wp:posOffset>
                </wp:positionV>
                <wp:extent cx="914400" cy="294640"/>
                <wp:effectExtent l="0" t="0" r="0" b="0"/>
                <wp:wrapNone/>
                <wp:docPr id="1900371821" name="文本框 22"/>
                <wp:cNvGraphicFramePr/>
                <a:graphic xmlns:a="http://schemas.openxmlformats.org/drawingml/2006/main">
                  <a:graphicData uri="http://schemas.microsoft.com/office/word/2010/wordprocessingShape">
                    <wps:wsp>
                      <wps:cNvSpPr txBox="1"/>
                      <wps:spPr>
                        <a:xfrm>
                          <a:off x="0" y="0"/>
                          <a:ext cx="914400" cy="294861"/>
                        </a:xfrm>
                        <a:prstGeom prst="rect">
                          <a:avLst/>
                        </a:prstGeom>
                        <a:noFill/>
                        <a:ln w="6350">
                          <a:noFill/>
                        </a:ln>
                      </wps:spPr>
                      <wps:txbx>
                        <w:txbxContent>
                          <w:p w14:paraId="3A636BAF">
                            <w:r>
                              <w:rPr>
                                <w:rFonts w:hint="eastAsia"/>
                              </w:rPr>
                              <w:t>L</w:t>
                            </w:r>
                            <w:r>
                              <w:rPr>
                                <w:rFonts w:hint="eastAsia"/>
                                <w:vertAlign w:val="subscript"/>
                              </w:rPr>
                              <w:t>2</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22" o:spid="_x0000_s1026" o:spt="202" type="#_x0000_t202" style="position:absolute;left:0pt;margin-left:224pt;margin-top:42.35pt;height:23.2pt;width:72pt;mso-wrap-style:none;z-index:251669504;mso-width-relative:page;mso-height-relative:page;" filled="f" stroked="f" coordsize="21600,21600" o:gfxdata="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9BhL73AAAAAoBAAAPAAAAAAAAAAEAIAAAACIA&#10;AABkcnMvZG93bnJldi54bWxQSwECFAAUAAAACACHTuJAnOJpYD4CAABtBAAADgAAAAAAAAABACAA&#10;AAArAQAAZHJzL2Uyb0RvYy54bWxQSwUGAAAAAAYABgBZAQAA2wUAAAAA&#10;">
                <v:fill on="f" focussize="0,0"/>
                <v:stroke on="f" weight="0.5pt"/>
                <v:imagedata o:title=""/>
                <o:lock v:ext="edit" aspectratio="f"/>
                <v:textbox>
                  <w:txbxContent>
                    <w:p w14:paraId="3A636BAF">
                      <w:r>
                        <w:rPr>
                          <w:rFonts w:hint="eastAsia"/>
                        </w:rPr>
                        <w:t>L</w:t>
                      </w:r>
                      <w:r>
                        <w:rPr>
                          <w:rFonts w:hint="eastAsia"/>
                          <w:vertAlign w:val="subscript"/>
                        </w:rPr>
                        <w:t>2</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1418590</wp:posOffset>
                </wp:positionH>
                <wp:positionV relativeFrom="paragraph">
                  <wp:posOffset>236220</wp:posOffset>
                </wp:positionV>
                <wp:extent cx="3045460" cy="0"/>
                <wp:effectExtent l="0" t="76200" r="21590" b="95250"/>
                <wp:wrapNone/>
                <wp:docPr id="965535600" name="直接箭头连接符 1"/>
                <wp:cNvGraphicFramePr/>
                <a:graphic xmlns:a="http://schemas.openxmlformats.org/drawingml/2006/main">
                  <a:graphicData uri="http://schemas.microsoft.com/office/word/2010/wordprocessingShape">
                    <wps:wsp>
                      <wps:cNvCnPr/>
                      <wps:spPr>
                        <a:xfrm>
                          <a:off x="0" y="0"/>
                          <a:ext cx="3045758" cy="112"/>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 o:spid="_x0000_s1026" o:spt="32" type="#_x0000_t32" style="position:absolute;left:0pt;margin-left:111.7pt;margin-top:18.6pt;height:0pt;width:239.8pt;z-index:251667456;mso-width-relative:page;mso-height-relative:page;" filled="f" stroked="t" coordsize="21600,21600" o:gfxdata="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7aVldkAAAAJAQAA&#10;DwAAAAAAAAABACAAAAAiAAAAZHJzL2Rvd25yZXYueG1sUEsBAhQAFAAAAAgAh07iQACHRMMYAgAA&#10;EAQAAA4AAAAAAAAAAQAgAAAAKAEAAGRycy9lMm9Eb2MueG1sUEsFBgAAAAAGAAYAWQEAALIFAAAA&#10;AA==&#10;">
                <v:fill on="f" focussize="0,0"/>
                <v:stroke color="#000000 [3213]"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2509520</wp:posOffset>
                </wp:positionH>
                <wp:positionV relativeFrom="paragraph">
                  <wp:posOffset>20320</wp:posOffset>
                </wp:positionV>
                <wp:extent cx="914400" cy="294640"/>
                <wp:effectExtent l="0" t="0" r="0" b="0"/>
                <wp:wrapNone/>
                <wp:docPr id="2033525592" name="文本框 22"/>
                <wp:cNvGraphicFramePr/>
                <a:graphic xmlns:a="http://schemas.openxmlformats.org/drawingml/2006/main">
                  <a:graphicData uri="http://schemas.microsoft.com/office/word/2010/wordprocessingShape">
                    <wps:wsp>
                      <wps:cNvSpPr txBox="1"/>
                      <wps:spPr>
                        <a:xfrm>
                          <a:off x="0" y="0"/>
                          <a:ext cx="914400" cy="294861"/>
                        </a:xfrm>
                        <a:prstGeom prst="rect">
                          <a:avLst/>
                        </a:prstGeom>
                        <a:noFill/>
                        <a:ln w="6350">
                          <a:noFill/>
                        </a:ln>
                      </wps:spPr>
                      <wps:txbx>
                        <w:txbxContent>
                          <w:p w14:paraId="3A6BCB1F">
                            <w:r>
                              <w:rPr>
                                <w:rFonts w:hint="eastAsia"/>
                              </w:rPr>
                              <w:t>运动距离L</w:t>
                            </w:r>
                            <w:r>
                              <w:rPr>
                                <w:rFonts w:hint="eastAsia"/>
                                <w:vertAlign w:val="subscript"/>
                              </w:rPr>
                              <w:t>1</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22" o:spid="_x0000_s1026" o:spt="202" type="#_x0000_t202" style="position:absolute;left:0pt;margin-left:197.6pt;margin-top:1.6pt;height:23.2pt;width:72pt;mso-wrap-style:none;z-index:251670528;mso-width-relative:page;mso-height-relative:page;" filled="f" stroked="f" coordsize="21600,21600" o:gfxdata="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pSLNzaAAAACAEAAA8AAAAAAAAAAQAgAAAAIgAA&#10;AGRycy9kb3ducmV2LnhtbFBLAQIUABQAAAAIAIdO4kByUX2yPwIAAG0EAAAOAAAAAAAAAAEAIAAA&#10;ACkBAABkcnMvZTJvRG9jLnhtbFBLBQYAAAAABgAGAFkBAADaBQAAAAA=&#10;">
                <v:fill on="f" focussize="0,0"/>
                <v:stroke on="f" weight="0.5pt"/>
                <v:imagedata o:title=""/>
                <o:lock v:ext="edit" aspectratio="f"/>
                <v:textbox>
                  <w:txbxContent>
                    <w:p w14:paraId="3A6BCB1F">
                      <w:r>
                        <w:rPr>
                          <w:rFonts w:hint="eastAsia"/>
                        </w:rPr>
                        <w:t>运动距离L</w:t>
                      </w:r>
                      <w:r>
                        <w:rPr>
                          <w:rFonts w:hint="eastAsia"/>
                          <w:vertAlign w:val="subscript"/>
                        </w:rPr>
                        <w:t>1</w:t>
                      </w:r>
                    </w:p>
                  </w:txbxContent>
                </v:textbox>
              </v:shape>
            </w:pict>
          </mc:Fallback>
        </mc:AlternateContent>
      </w:r>
      <w:r>
        <w:rPr>
          <w:rFonts w:hint="eastAsia" w:ascii="Times New Roman"/>
          <w:i/>
          <w:u w:val="single"/>
        </w:rPr>
        <mc:AlternateContent>
          <mc:Choice Requires="wps">
            <w:drawing>
              <wp:anchor distT="0" distB="0" distL="114300" distR="114300" simplePos="0" relativeHeight="251666432" behindDoc="0" locked="0" layoutInCell="1" allowOverlap="1">
                <wp:simplePos x="0" y="0"/>
                <wp:positionH relativeFrom="column">
                  <wp:posOffset>4768850</wp:posOffset>
                </wp:positionH>
                <wp:positionV relativeFrom="paragraph">
                  <wp:posOffset>570865</wp:posOffset>
                </wp:positionV>
                <wp:extent cx="147320" cy="127000"/>
                <wp:effectExtent l="0" t="0" r="24130" b="25400"/>
                <wp:wrapNone/>
                <wp:docPr id="393858960" name="等腰三角形 9"/>
                <wp:cNvGraphicFramePr/>
                <a:graphic xmlns:a="http://schemas.openxmlformats.org/drawingml/2006/main">
                  <a:graphicData uri="http://schemas.microsoft.com/office/word/2010/wordprocessingShape">
                    <wps:wsp>
                      <wps:cNvSpPr/>
                      <wps:spPr>
                        <a:xfrm rot="10800000" flipV="1">
                          <a:off x="0" y="0"/>
                          <a:ext cx="147433" cy="127000"/>
                        </a:xfrm>
                        <a:prstGeom prst="triangl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9" o:spid="_x0000_s1026" o:spt="5" type="#_x0000_t5" style="position:absolute;left:0pt;flip:y;margin-left:375.5pt;margin-top:44.95pt;height:10pt;width:11.6pt;rotation:11796480f;z-index:251666432;v-text-anchor:middle;mso-width-relative:page;mso-height-relative:page;" filled="f" stroked="t" coordsize="21600,21600" o:gfxdata="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5kTZfYAAAACgEAAA8AAAAA&#10;AAAAAQAgAAAAIgAAAGRycy9kb3ducmV2LnhtbFBLAQIUABQAAAAIAIdO4kAVZyjqhgIAAOAEAAAO&#10;AAAAAAAAAAEAIAAAACcBAABkcnMvZTJvRG9jLnhtbFBLBQYAAAAABgAGAFkBAAAfBgAAAAA=&#10;" adj="10800">
                <v:fill on="f" focussize="0,0"/>
                <v:stroke color="#000000 [3213]" joinstyle="round"/>
                <v:imagedata o:title=""/>
                <o:lock v:ext="edit" aspectratio="f"/>
              </v:shape>
            </w:pict>
          </mc:Fallback>
        </mc:AlternateContent>
      </w:r>
      <w:r>
        <w:rPr>
          <w:rFonts w:hint="eastAsia" w:ascii="Times New Roman"/>
          <w:i/>
          <w:u w:val="single"/>
        </w:rPr>
        <mc:AlternateContent>
          <mc:Choice Requires="wps">
            <w:drawing>
              <wp:anchor distT="0" distB="0" distL="114300" distR="114300" simplePos="0" relativeHeight="251665408" behindDoc="0" locked="0" layoutInCell="1" allowOverlap="1">
                <wp:simplePos x="0" y="0"/>
                <wp:positionH relativeFrom="column">
                  <wp:posOffset>1329690</wp:posOffset>
                </wp:positionH>
                <wp:positionV relativeFrom="paragraph">
                  <wp:posOffset>570230</wp:posOffset>
                </wp:positionV>
                <wp:extent cx="147320" cy="127000"/>
                <wp:effectExtent l="0" t="0" r="24130" b="25400"/>
                <wp:wrapNone/>
                <wp:docPr id="1136509089" name="等腰三角形 9"/>
                <wp:cNvGraphicFramePr/>
                <a:graphic xmlns:a="http://schemas.openxmlformats.org/drawingml/2006/main">
                  <a:graphicData uri="http://schemas.microsoft.com/office/word/2010/wordprocessingShape">
                    <wps:wsp>
                      <wps:cNvSpPr/>
                      <wps:spPr>
                        <a:xfrm rot="10800000" flipV="1">
                          <a:off x="0" y="0"/>
                          <a:ext cx="147433" cy="127000"/>
                        </a:xfrm>
                        <a:prstGeom prst="triangl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9" o:spid="_x0000_s1026" o:spt="5" type="#_x0000_t5" style="position:absolute;left:0pt;flip:y;margin-left:104.7pt;margin-top:44.9pt;height:10pt;width:11.6pt;rotation:11796480f;z-index:251665408;v-text-anchor:middle;mso-width-relative:page;mso-height-relative:page;" filled="f" stroked="t" coordsize="21600,21600" o:gfxdata="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BTt5NcAAAAKAQAADwAAAAAA&#10;AAABACAAAAAiAAAAZHJzL2Rvd25yZXYueG1sUEsBAhQAFAAAAAgAh07iQF0QUI6GAgAA4QQAAA4A&#10;AAAAAAAAAQAgAAAAJgEAAGRycy9lMm9Eb2MueG1sUEsFBgAAAAAGAAYAWQEAAB4GAAAAAA==&#10;" adj="10800">
                <v:fill on="f" focussize="0,0"/>
                <v:stroke color="#000000 [3213]" joinstyle="round"/>
                <v:imagedata o:title=""/>
                <o:lock v:ext="edit" aspectratio="f"/>
              </v:shape>
            </w:pict>
          </mc:Fallback>
        </mc:AlternateContent>
      </w:r>
      <w:r>
        <w:rPr>
          <w:rFonts w:hint="eastAsia" w:ascii="Times New Roman"/>
          <w:i/>
          <w:u w:val="single"/>
        </w:rPr>
        <w:t xml:space="preserve">  </w:t>
      </w:r>
      <w:r>
        <w:rPr>
          <w:rFonts w:hint="eastAsia" w:ascii="Times New Roman"/>
          <w:i/>
          <w:u w:val="single"/>
        </w:rPr>
        <w:drawing>
          <wp:inline distT="0" distB="0" distL="0" distR="0">
            <wp:extent cx="443865" cy="520065"/>
            <wp:effectExtent l="0" t="0" r="0" b="0"/>
            <wp:docPr id="7491285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28528" name="图片 7"/>
                    <pic:cNvPicPr>
                      <a:picLocks noChangeAspect="1"/>
                    </pic:cNvPicPr>
                  </pic:nvPicPr>
                  <pic:blipFill>
                    <a:blip r:embed="rId6" cstate="print">
                      <a:extLst>
                        <a:ext uri="{BEBA8EAE-BF5A-486C-A8C5-ECC9F3942E4B}">
                          <a14:imgProps xmlns:a14="http://schemas.microsoft.com/office/drawing/2010/main">
                            <a14:imgLayer r:embed="rId7">
                              <a14:imgEffect>
                                <a14:backgroundRemoval t="9507" b="93662" l="10000" r="90000">
                                  <a14:foregroundMark x1="32195" y1="91549" x2="34024" y2="0"/>
                                  <a14:foregroundMark x1="65854" y1="93134" x2="65000" y2="0"/>
                                  <a14:foregroundMark x1="33780" y1="93662" x2="33780" y2="0"/>
                                  <a14:foregroundMark x1="69390" y1="91901" x2="69390" y2="0"/>
                                  <a14:foregroundMark x1="69024" y1="92958" x2="69024" y2="0"/>
                                  <a14:foregroundMark x1="67317" y1="15493" x2="67317" y2="0"/>
                                  <a14:foregroundMark x1="32439" y1="16373" x2="39024" y2="0"/>
                                  <a14:foregroundMark x1="37927" y1="15493" x2="67439" y2="0"/>
                                  <a14:foregroundMark x1="51951" y1="49472" x2="51951" y2="0"/>
                                  <a14:foregroundMark x1="69024" y1="92782" x2="69024" y2="0"/>
                                  <a14:foregroundMark x1="69512" y1="92430" x2="69634" y2="0"/>
                                </a14:backgroundRemoval>
                              </a14:imgEffect>
                            </a14:imgLayer>
                          </a14:imgProps>
                        </a:ext>
                        <a:ext uri="{28A0092B-C50C-407E-A947-70E740481C1C}">
                          <a14:useLocalDpi xmlns:a14="http://schemas.microsoft.com/office/drawing/2010/main" val="0"/>
                        </a:ext>
                      </a:extLst>
                    </a:blip>
                    <a:srcRect l="25097" t="9602" r="23752" b="3874"/>
                    <a:stretch>
                      <a:fillRect/>
                    </a:stretch>
                  </pic:blipFill>
                  <pic:spPr>
                    <a:xfrm>
                      <a:off x="0" y="0"/>
                      <a:ext cx="449153" cy="526232"/>
                    </a:xfrm>
                    <a:prstGeom prst="rect">
                      <a:avLst/>
                    </a:prstGeom>
                    <a:ln>
                      <a:noFill/>
                    </a:ln>
                  </pic:spPr>
                </pic:pic>
              </a:graphicData>
            </a:graphic>
          </wp:inline>
        </w:drawing>
      </w:r>
      <w:r>
        <w:rPr>
          <w:rFonts w:hint="eastAsia" w:ascii="Times New Roman"/>
          <w:i/>
          <w:u w:val="single"/>
        </w:rPr>
        <w:t xml:space="preserve">                                             </w:t>
      </w:r>
      <w:r>
        <w:rPr>
          <w:rFonts w:hint="eastAsia" w:ascii="Times New Roman"/>
          <w:i/>
          <w:u w:val="single"/>
        </w:rPr>
        <w:drawing>
          <wp:inline distT="0" distB="0" distL="0" distR="0">
            <wp:extent cx="443865" cy="520065"/>
            <wp:effectExtent l="0" t="0" r="0" b="0"/>
            <wp:docPr id="119351848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18488" name="图片 7"/>
                    <pic:cNvPicPr>
                      <a:picLocks noChangeAspect="1"/>
                    </pic:cNvPicPr>
                  </pic:nvPicPr>
                  <pic:blipFill>
                    <a:blip r:embed="rId6" cstate="print">
                      <a:extLst>
                        <a:ext uri="{BEBA8EAE-BF5A-486C-A8C5-ECC9F3942E4B}">
                          <a14:imgProps xmlns:a14="http://schemas.microsoft.com/office/drawing/2010/main">
                            <a14:imgLayer r:embed="rId7">
                              <a14:imgEffect>
                                <a14:backgroundRemoval t="9507" b="93662" l="10000" r="90000">
                                  <a14:foregroundMark x1="32195" y1="91549" x2="34024" y2="0"/>
                                  <a14:foregroundMark x1="65854" y1="93134" x2="65000" y2="0"/>
                                  <a14:foregroundMark x1="33780" y1="93662" x2="33780" y2="0"/>
                                  <a14:foregroundMark x1="69390" y1="91901" x2="69390" y2="0"/>
                                  <a14:foregroundMark x1="69024" y1="92958" x2="69024" y2="0"/>
                                  <a14:foregroundMark x1="67317" y1="15493" x2="67317" y2="0"/>
                                  <a14:foregroundMark x1="32439" y1="16373" x2="39024" y2="0"/>
                                  <a14:foregroundMark x1="37927" y1="15493" x2="67439" y2="0"/>
                                  <a14:foregroundMark x1="51951" y1="49472" x2="51951" y2="0"/>
                                  <a14:foregroundMark x1="69024" y1="92782" x2="69024" y2="0"/>
                                  <a14:foregroundMark x1="69512" y1="92430" x2="69634" y2="0"/>
                                </a14:backgroundRemoval>
                              </a14:imgEffect>
                            </a14:imgLayer>
                          </a14:imgProps>
                        </a:ext>
                        <a:ext uri="{28A0092B-C50C-407E-A947-70E740481C1C}">
                          <a14:useLocalDpi xmlns:a14="http://schemas.microsoft.com/office/drawing/2010/main" val="0"/>
                        </a:ext>
                      </a:extLst>
                    </a:blip>
                    <a:srcRect l="25097" t="9602" r="23752" b="3874"/>
                    <a:stretch>
                      <a:fillRect/>
                    </a:stretch>
                  </pic:blipFill>
                  <pic:spPr>
                    <a:xfrm>
                      <a:off x="0" y="0"/>
                      <a:ext cx="449153" cy="526232"/>
                    </a:xfrm>
                    <a:prstGeom prst="rect">
                      <a:avLst/>
                    </a:prstGeom>
                    <a:ln>
                      <a:noFill/>
                    </a:ln>
                  </pic:spPr>
                </pic:pic>
              </a:graphicData>
            </a:graphic>
          </wp:inline>
        </w:drawing>
      </w:r>
      <w:r>
        <w:rPr>
          <w:rFonts w:hint="eastAsia" w:ascii="Times New Roman"/>
          <w:i/>
          <w:u w:val="single"/>
        </w:rPr>
        <w:t xml:space="preserve">   </w:t>
      </w:r>
    </w:p>
    <w:p w14:paraId="5BEE25BB">
      <w:pPr>
        <w:pStyle w:val="23"/>
        <w:ind w:firstLine="1365" w:firstLineChars="650"/>
        <w:rPr>
          <w:rFonts w:ascii="Times New Roman"/>
          <w:i/>
          <w:u w:val="single"/>
        </w:rPr>
      </w:pPr>
      <w:r>
        <mc:AlternateContent>
          <mc:Choice Requires="wps">
            <w:drawing>
              <wp:anchor distT="0" distB="0" distL="114300" distR="114300" simplePos="0" relativeHeight="251668480" behindDoc="0" locked="0" layoutInCell="1" allowOverlap="1">
                <wp:simplePos x="0" y="0"/>
                <wp:positionH relativeFrom="column">
                  <wp:posOffset>1420495</wp:posOffset>
                </wp:positionH>
                <wp:positionV relativeFrom="paragraph">
                  <wp:posOffset>6985</wp:posOffset>
                </wp:positionV>
                <wp:extent cx="3429000" cy="0"/>
                <wp:effectExtent l="38100" t="76200" r="19050" b="95250"/>
                <wp:wrapNone/>
                <wp:docPr id="483677383" name="直接箭头连接符 1"/>
                <wp:cNvGraphicFramePr/>
                <a:graphic xmlns:a="http://schemas.openxmlformats.org/drawingml/2006/main">
                  <a:graphicData uri="http://schemas.microsoft.com/office/word/2010/wordprocessingShape">
                    <wps:wsp>
                      <wps:cNvCnPr/>
                      <wps:spPr>
                        <a:xfrm>
                          <a:off x="0" y="0"/>
                          <a:ext cx="3429000" cy="112"/>
                        </a:xfrm>
                        <a:prstGeom prst="straightConnector1">
                          <a:avLst/>
                        </a:prstGeom>
                        <a:ln>
                          <a:solidFill>
                            <a:schemeClr val="tx1"/>
                          </a:solidFill>
                          <a:prstDash val="sys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 o:spid="_x0000_s1026" o:spt="32" type="#_x0000_t32" style="position:absolute;left:0pt;margin-left:111.85pt;margin-top:0.55pt;height:0pt;width:270pt;z-index:251668480;mso-width-relative:page;mso-height-relative:page;" filled="f" stroked="t" coordsize="21600,21600" o:gfxdata="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rwkbtQAAAAHAQAADwAAAAAAAAABACAAAAAi&#10;AAAAZHJzL2Rvd25yZXYueG1sUEsBAhQAFAAAAAgAh07iQA4nl/QOAgAA8gMAAA4AAAAAAAAAAQAg&#10;AAAAIwEAAGRycy9lMm9Eb2MueG1sUEsFBgAAAAAGAAYAWQEAAKMFAAAAAA==&#10;">
                <v:fill on="f" focussize="0,0"/>
                <v:stroke color="#000000 [3213]" joinstyle="round" dashstyle="3 1" startarrow="block" endarrow="block"/>
                <v:imagedata o:title=""/>
                <o:lock v:ext="edit" aspectratio="f"/>
              </v:shape>
            </w:pict>
          </mc:Fallback>
        </mc:AlternateContent>
      </w:r>
    </w:p>
    <w:p w14:paraId="7A13F9F3">
      <w:pPr>
        <w:pStyle w:val="23"/>
        <w:ind w:firstLine="1785" w:firstLineChars="850"/>
        <w:rPr>
          <w:rFonts w:ascii="Times New Roman"/>
          <w:iCs/>
        </w:rPr>
      </w:pPr>
      <w:r>
        <w:rPr>
          <w:rFonts w:hint="eastAsia" w:ascii="Times New Roman"/>
          <w:iCs/>
        </w:rPr>
        <w:t>标记点1                                             标记点2</w:t>
      </w:r>
    </w:p>
    <w:p w14:paraId="147B9C10">
      <w:pPr>
        <w:pStyle w:val="23"/>
        <w:ind w:firstLine="0" w:firstLineChars="0"/>
        <w:jc w:val="center"/>
        <w:rPr>
          <w:rFonts w:ascii="Times New Roman"/>
          <w:i/>
          <w:u w:val="single"/>
        </w:rPr>
      </w:pPr>
      <w:r>
        <w:rPr>
          <w:rFonts w:hint="eastAsia" w:ascii="Times New Roman"/>
          <w:iCs/>
        </w:rPr>
        <w:t>图1 长度指示精度的测量</w:t>
      </w:r>
    </w:p>
    <w:p w14:paraId="4FD271E0">
      <w:pPr>
        <w:pStyle w:val="56"/>
        <w:numPr>
          <w:ilvl w:val="3"/>
          <w:numId w:val="2"/>
        </w:numPr>
        <w:spacing w:before="156" w:after="156"/>
        <w:rPr>
          <w:rFonts w:ascii="Times New Roman"/>
        </w:rPr>
      </w:pPr>
      <w:r>
        <w:rPr>
          <w:rFonts w:ascii="Times New Roman"/>
        </w:rPr>
        <w:t>长度</w:t>
      </w:r>
      <w:r>
        <w:t>重复</w:t>
      </w:r>
      <w:r>
        <w:rPr>
          <w:rFonts w:ascii="Times New Roman"/>
        </w:rPr>
        <w:t>定位精度</w:t>
      </w:r>
    </w:p>
    <w:p w14:paraId="493A59D0">
      <w:pPr>
        <w:pStyle w:val="23"/>
        <w:rPr>
          <w:rFonts w:ascii="Times New Roman"/>
        </w:rPr>
      </w:pPr>
      <w:r>
        <w:rPr>
          <w:rFonts w:ascii="Times New Roman"/>
        </w:rPr>
        <w:t>若适用，具有电动控制及距离指示功能的移动装置，且同时具有特定扫描位置的磁共振设备，分别在空载、满载状态下，将初始位置处标记为标记点1。从这个位置上连续移动一段距离L(其中L=100cm或最大可选的位置上)，再</w:t>
      </w:r>
      <w:r>
        <w:rPr>
          <w:rFonts w:hint="eastAsia" w:ascii="Times New Roman"/>
          <w:lang w:val="en-US" w:eastAsia="zh-CN"/>
        </w:rPr>
        <w:t>移动</w:t>
      </w:r>
      <w:r>
        <w:rPr>
          <w:rFonts w:ascii="Times New Roman"/>
        </w:rPr>
        <w:t>返回到启动的位置上并将此时位置标记为标记点2，</w:t>
      </w:r>
      <w:r>
        <w:rPr>
          <w:rFonts w:hint="eastAsia" w:ascii="Times New Roman"/>
        </w:rPr>
        <w:t>测量</w:t>
      </w:r>
      <w:r>
        <w:rPr>
          <w:rFonts w:ascii="Times New Roman"/>
        </w:rPr>
        <w:t>标记点1和标记点2的距离</w:t>
      </w:r>
      <w:r>
        <w:rPr>
          <w:rFonts w:hint="eastAsia" w:ascii="Times New Roman"/>
        </w:rPr>
        <w:t>（如图2所示）</w:t>
      </w:r>
      <w:r>
        <w:rPr>
          <w:rFonts w:ascii="Times New Roman"/>
        </w:rPr>
        <w:t>。</w:t>
      </w:r>
    </w:p>
    <w:p w14:paraId="0EBF4BD1">
      <w:pPr>
        <w:pStyle w:val="23"/>
        <w:ind w:firstLine="1365" w:firstLineChars="650"/>
        <w:rPr>
          <w:rFonts w:ascii="Times New Roman"/>
          <w:i/>
          <w:u w:val="single"/>
        </w:rPr>
      </w:pPr>
      <w:r>
        <w:rPr>
          <w:rFonts w:ascii="Times New Roman"/>
        </w:rPr>
        <mc:AlternateContent>
          <mc:Choice Requires="wps">
            <w:drawing>
              <wp:anchor distT="0" distB="0" distL="114300" distR="114300" simplePos="0" relativeHeight="251677696" behindDoc="0" locked="0" layoutInCell="1" allowOverlap="1">
                <wp:simplePos x="0" y="0"/>
                <wp:positionH relativeFrom="column">
                  <wp:posOffset>1678940</wp:posOffset>
                </wp:positionH>
                <wp:positionV relativeFrom="paragraph">
                  <wp:posOffset>264160</wp:posOffset>
                </wp:positionV>
                <wp:extent cx="0" cy="1271270"/>
                <wp:effectExtent l="0" t="0" r="38100" b="24765"/>
                <wp:wrapNone/>
                <wp:docPr id="447102603" name="直接连接符 28"/>
                <wp:cNvGraphicFramePr/>
                <a:graphic xmlns:a="http://schemas.openxmlformats.org/drawingml/2006/main">
                  <a:graphicData uri="http://schemas.microsoft.com/office/word/2010/wordprocessingShape">
                    <wps:wsp>
                      <wps:cNvCnPr/>
                      <wps:spPr>
                        <a:xfrm>
                          <a:off x="0" y="0"/>
                          <a:ext cx="0" cy="127118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8" o:spid="_x0000_s1026" o:spt="20" style="position:absolute;left:0pt;margin-left:132.2pt;margin-top:20.8pt;height:100.1pt;width:0pt;z-index:251677696;mso-width-relative:page;mso-height-relative:page;" filled="f" stroked="t" coordsize="21600,21600" o:gfxdata="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DJPadcAAAAKAQAA&#10;DwAAAAAAAAABACAAAAAiAAAAZHJzL2Rvd25yZXYueG1sUEsBAhQAFAAAAAgAh07iQGSKRE/hAQAA&#10;pQMAAA4AAAAAAAAAAQAgAAAAJgEAAGRycy9lMm9Eb2MueG1sUEsFBgAAAAAGAAYAWQEAAHkFAAAA&#10;AA==&#10;">
                <v:fill on="f" focussize="0,0"/>
                <v:stroke color="#000000 [3213]" joinstyle="round" dashstyle="3 1"/>
                <v:imagedata o:title=""/>
                <o:lock v:ext="edit" aspectratio="f"/>
              </v:line>
            </w:pict>
          </mc:Fallback>
        </mc:AlternateContent>
      </w:r>
      <w:r>
        <w:rPr>
          <w:rFonts w:hint="eastAsia" w:ascii="Times New Roman"/>
        </w:rPr>
        <mc:AlternateContent>
          <mc:Choice Requires="wps">
            <w:drawing>
              <wp:anchor distT="0" distB="0" distL="114300" distR="114300" simplePos="0" relativeHeight="251678720" behindDoc="0" locked="0" layoutInCell="1" allowOverlap="1">
                <wp:simplePos x="0" y="0"/>
                <wp:positionH relativeFrom="column">
                  <wp:posOffset>1417955</wp:posOffset>
                </wp:positionH>
                <wp:positionV relativeFrom="paragraph">
                  <wp:posOffset>421640</wp:posOffset>
                </wp:positionV>
                <wp:extent cx="266700" cy="0"/>
                <wp:effectExtent l="38100" t="76200" r="19050" b="95250"/>
                <wp:wrapNone/>
                <wp:docPr id="325848632" name="直接箭头连接符 30"/>
                <wp:cNvGraphicFramePr/>
                <a:graphic xmlns:a="http://schemas.openxmlformats.org/drawingml/2006/main">
                  <a:graphicData uri="http://schemas.microsoft.com/office/word/2010/wordprocessingShape">
                    <wps:wsp>
                      <wps:cNvCnPr/>
                      <wps:spPr>
                        <a:xfrm>
                          <a:off x="0" y="0"/>
                          <a:ext cx="2667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0" o:spid="_x0000_s1026" o:spt="32" type="#_x0000_t32" style="position:absolute;left:0pt;margin-left:111.65pt;margin-top:33.2pt;height:0pt;width:21pt;z-index:251678720;mso-width-relative:page;mso-height-relative:page;" filled="f" stroked="t" coordsize="21600,21600" o:gfxdata="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SK1P1wAA&#10;AAkBAAAPAAAAAAAAAAEAIAAAACIAAABkcnMvZG93bnJldi54bWxQSwECFAAUAAAACACHTuJA/zrz&#10;1h8CAAAnBAAADgAAAAAAAAABACAAAAAmAQAAZHJzL2Uyb0RvYy54bWxQSwUGAAAAAAYABgBZAQAA&#10;twUAAAAA&#10;">
                <v:fill on="f" focussize="0,0"/>
                <v:stroke color="#000000 [3200]" joinstyle="round" startarrow="block"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1421130</wp:posOffset>
                </wp:positionH>
                <wp:positionV relativeFrom="paragraph">
                  <wp:posOffset>240030</wp:posOffset>
                </wp:positionV>
                <wp:extent cx="3041015" cy="0"/>
                <wp:effectExtent l="0" t="76200" r="26670" b="114300"/>
                <wp:wrapNone/>
                <wp:docPr id="1301857840" name="直接箭头连接符 1"/>
                <wp:cNvGraphicFramePr/>
                <a:graphic xmlns:a="http://schemas.openxmlformats.org/drawingml/2006/main">
                  <a:graphicData uri="http://schemas.microsoft.com/office/word/2010/wordprocessingShape">
                    <wps:wsp>
                      <wps:cNvCnPr/>
                      <wps:spPr>
                        <a:xfrm>
                          <a:off x="0" y="0"/>
                          <a:ext cx="3040977" cy="0"/>
                        </a:xfrm>
                        <a:prstGeom prst="straightConnector1">
                          <a:avLst/>
                        </a:prstGeom>
                        <a:ln>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 o:spid="_x0000_s1026" o:spt="32" type="#_x0000_t32" style="position:absolute;left:0pt;margin-left:111.9pt;margin-top:18.9pt;height:0pt;width:239.45pt;z-index:251672576;mso-width-relative:page;mso-height-relative:page;" filled="f" stroked="t" coordsize="21600,21600" o:gfxdata="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6QLYh1gAAAAkBAAAPAAAA&#10;AAAAAAEAIAAAACIAAABkcnMvZG93bnJldi54bWxQSwECFAAUAAAACACHTuJApoKBrRcCAAAMBAAA&#10;DgAAAAAAAAABACAAAAAlAQAAZHJzL2Uyb0RvYy54bWxQSwUGAAAAAAYABgBZAQAArgU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2509520</wp:posOffset>
                </wp:positionH>
                <wp:positionV relativeFrom="paragraph">
                  <wp:posOffset>20320</wp:posOffset>
                </wp:positionV>
                <wp:extent cx="914400" cy="294640"/>
                <wp:effectExtent l="0" t="0" r="0" b="0"/>
                <wp:wrapNone/>
                <wp:docPr id="923586582" name="文本框 22"/>
                <wp:cNvGraphicFramePr/>
                <a:graphic xmlns:a="http://schemas.openxmlformats.org/drawingml/2006/main">
                  <a:graphicData uri="http://schemas.microsoft.com/office/word/2010/wordprocessingShape">
                    <wps:wsp>
                      <wps:cNvSpPr txBox="1"/>
                      <wps:spPr>
                        <a:xfrm>
                          <a:off x="0" y="0"/>
                          <a:ext cx="914400" cy="294861"/>
                        </a:xfrm>
                        <a:prstGeom prst="rect">
                          <a:avLst/>
                        </a:prstGeom>
                        <a:noFill/>
                        <a:ln w="6350">
                          <a:noFill/>
                        </a:ln>
                      </wps:spPr>
                      <wps:txbx>
                        <w:txbxContent>
                          <w:p w14:paraId="057CD14E">
                            <w:r>
                              <w:t>运动距离</w:t>
                            </w:r>
                            <w:r>
                              <w:rPr>
                                <w:rFonts w:hint="eastAsia"/>
                              </w:rPr>
                              <w:t>L</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22" o:spid="_x0000_s1026" o:spt="202" type="#_x0000_t202" style="position:absolute;left:0pt;margin-left:197.6pt;margin-top:1.6pt;height:23.2pt;width:72pt;mso-wrap-style:none;z-index:251673600;mso-width-relative:page;mso-height-relative:page;" filled="f" stroked="f" coordsize="21600,21600" o:gfxdata="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lIs3NoAAAAIAQAADwAAAAAAAAABACAAAAAiAAAA&#10;ZHJzL2Rvd25yZXYueG1sUEsBAhQAFAAAAAgAh07iQFXZNcI+AgAAbAQAAA4AAAAAAAAAAQAgAAAA&#10;KQEAAGRycy9lMm9Eb2MueG1sUEsFBgAAAAAGAAYAWQEAANkFAAAAAA==&#10;">
                <v:fill on="f" focussize="0,0"/>
                <v:stroke on="f" weight="0.5pt"/>
                <v:imagedata o:title=""/>
                <o:lock v:ext="edit" aspectratio="f"/>
                <v:textbox>
                  <w:txbxContent>
                    <w:p w14:paraId="057CD14E">
                      <w:r>
                        <w:t>运动距离</w:t>
                      </w:r>
                      <w:r>
                        <w:rPr>
                          <w:rFonts w:hint="eastAsia"/>
                        </w:rPr>
                        <w:t>L</w:t>
                      </w:r>
                    </w:p>
                  </w:txbxContent>
                </v:textbox>
              </v:shape>
            </w:pict>
          </mc:Fallback>
        </mc:AlternateContent>
      </w:r>
      <w:r>
        <w:rPr>
          <w:rFonts w:hint="eastAsia" w:ascii="Times New Roman"/>
          <w:i/>
          <w:u w:val="single"/>
        </w:rPr>
        <mc:AlternateContent>
          <mc:Choice Requires="wps">
            <w:drawing>
              <wp:anchor distT="0" distB="0" distL="114300" distR="114300" simplePos="0" relativeHeight="251671552" behindDoc="0" locked="0" layoutInCell="1" allowOverlap="1">
                <wp:simplePos x="0" y="0"/>
                <wp:positionH relativeFrom="column">
                  <wp:posOffset>1329690</wp:posOffset>
                </wp:positionH>
                <wp:positionV relativeFrom="paragraph">
                  <wp:posOffset>570230</wp:posOffset>
                </wp:positionV>
                <wp:extent cx="147320" cy="127000"/>
                <wp:effectExtent l="0" t="0" r="24130" b="25400"/>
                <wp:wrapNone/>
                <wp:docPr id="673008592" name="等腰三角形 9"/>
                <wp:cNvGraphicFramePr/>
                <a:graphic xmlns:a="http://schemas.openxmlformats.org/drawingml/2006/main">
                  <a:graphicData uri="http://schemas.microsoft.com/office/word/2010/wordprocessingShape">
                    <wps:wsp>
                      <wps:cNvSpPr/>
                      <wps:spPr>
                        <a:xfrm rot="10800000" flipV="1">
                          <a:off x="0" y="0"/>
                          <a:ext cx="147433" cy="127000"/>
                        </a:xfrm>
                        <a:prstGeom prst="triangl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9" o:spid="_x0000_s1026" o:spt="5" type="#_x0000_t5" style="position:absolute;left:0pt;flip:y;margin-left:104.7pt;margin-top:44.9pt;height:10pt;width:11.6pt;rotation:11796480f;z-index:251671552;v-text-anchor:middle;mso-width-relative:page;mso-height-relative:page;" filled="f" stroked="t" coordsize="21600,21600" o:gfxdata="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BTt5NcAAAAKAQAADwAAAAAA&#10;AAABACAAAAAiAAAAZHJzL2Rvd25yZXYueG1sUEsBAhQAFAAAAAgAh07iQPhm7GSGAgAA4AQAAA4A&#10;AAAAAAAAAQAgAAAAJgEAAGRycy9lMm9Eb2MueG1sUEsFBgAAAAAGAAYAWQEAAB4GAAAAAA==&#10;" adj="10800">
                <v:fill on="f" focussize="0,0"/>
                <v:stroke color="#000000 [3213]" joinstyle="round"/>
                <v:imagedata o:title=""/>
                <o:lock v:ext="edit" aspectratio="f"/>
              </v:shape>
            </w:pict>
          </mc:Fallback>
        </mc:AlternateContent>
      </w:r>
      <w:r>
        <w:rPr>
          <w:rFonts w:hint="eastAsia" w:ascii="Times New Roman"/>
          <w:i/>
          <w:u w:val="single"/>
        </w:rPr>
        <w:t xml:space="preserve">  </w:t>
      </w:r>
      <w:r>
        <w:rPr>
          <w:rFonts w:hint="eastAsia" w:ascii="Times New Roman"/>
          <w:i/>
          <w:u w:val="single"/>
        </w:rPr>
        <w:drawing>
          <wp:inline distT="0" distB="0" distL="0" distR="0">
            <wp:extent cx="443865" cy="520065"/>
            <wp:effectExtent l="0" t="0" r="0" b="0"/>
            <wp:docPr id="83929506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95060" name="图片 7"/>
                    <pic:cNvPicPr>
                      <a:picLocks noChangeAspect="1"/>
                    </pic:cNvPicPr>
                  </pic:nvPicPr>
                  <pic:blipFill>
                    <a:blip r:embed="rId6" cstate="print">
                      <a:extLst>
                        <a:ext uri="{BEBA8EAE-BF5A-486C-A8C5-ECC9F3942E4B}">
                          <a14:imgProps xmlns:a14="http://schemas.microsoft.com/office/drawing/2010/main">
                            <a14:imgLayer r:embed="rId7">
                              <a14:imgEffect>
                                <a14:backgroundRemoval t="9507" b="93662" l="10000" r="90000">
                                  <a14:foregroundMark x1="32195" y1="91549" x2="34024" y2="0"/>
                                  <a14:foregroundMark x1="65854" y1="93134" x2="65000" y2="0"/>
                                  <a14:foregroundMark x1="33780" y1="93662" x2="33780" y2="0"/>
                                  <a14:foregroundMark x1="69390" y1="91901" x2="69390" y2="0"/>
                                  <a14:foregroundMark x1="69024" y1="92958" x2="69024" y2="0"/>
                                  <a14:foregroundMark x1="67317" y1="15493" x2="67317" y2="0"/>
                                  <a14:foregroundMark x1="32439" y1="16373" x2="39024" y2="0"/>
                                  <a14:foregroundMark x1="37927" y1="15493" x2="67439" y2="0"/>
                                  <a14:foregroundMark x1="51951" y1="49472" x2="51951" y2="0"/>
                                  <a14:foregroundMark x1="69024" y1="92782" x2="69024" y2="0"/>
                                  <a14:foregroundMark x1="69512" y1="92430" x2="69634" y2="0"/>
                                </a14:backgroundRemoval>
                              </a14:imgEffect>
                            </a14:imgLayer>
                          </a14:imgProps>
                        </a:ext>
                        <a:ext uri="{28A0092B-C50C-407E-A947-70E740481C1C}">
                          <a14:useLocalDpi xmlns:a14="http://schemas.microsoft.com/office/drawing/2010/main" val="0"/>
                        </a:ext>
                      </a:extLst>
                    </a:blip>
                    <a:srcRect l="25097" t="9602" r="23752" b="3874"/>
                    <a:stretch>
                      <a:fillRect/>
                    </a:stretch>
                  </pic:blipFill>
                  <pic:spPr>
                    <a:xfrm>
                      <a:off x="0" y="0"/>
                      <a:ext cx="449153" cy="526232"/>
                    </a:xfrm>
                    <a:prstGeom prst="rect">
                      <a:avLst/>
                    </a:prstGeom>
                    <a:ln>
                      <a:noFill/>
                    </a:ln>
                  </pic:spPr>
                </pic:pic>
              </a:graphicData>
            </a:graphic>
          </wp:inline>
        </w:drawing>
      </w:r>
      <w:r>
        <w:rPr>
          <w:rFonts w:hint="eastAsia" w:ascii="Times New Roman"/>
          <w:i/>
          <w:u w:val="single"/>
        </w:rPr>
        <w:t xml:space="preserve">                                             </w:t>
      </w:r>
      <w:r>
        <w:rPr>
          <w:rFonts w:hint="eastAsia" w:ascii="Times New Roman"/>
          <w:i/>
          <w:u w:val="single"/>
        </w:rPr>
        <w:drawing>
          <wp:inline distT="0" distB="0" distL="0" distR="0">
            <wp:extent cx="443865" cy="520065"/>
            <wp:effectExtent l="0" t="0" r="0" b="0"/>
            <wp:docPr id="6020763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76399" name="图片 7"/>
                    <pic:cNvPicPr>
                      <a:picLocks noChangeAspect="1"/>
                    </pic:cNvPicPr>
                  </pic:nvPicPr>
                  <pic:blipFill>
                    <a:blip r:embed="rId6" cstate="print">
                      <a:extLst>
                        <a:ext uri="{BEBA8EAE-BF5A-486C-A8C5-ECC9F3942E4B}">
                          <a14:imgProps xmlns:a14="http://schemas.microsoft.com/office/drawing/2010/main">
                            <a14:imgLayer r:embed="rId7">
                              <a14:imgEffect>
                                <a14:backgroundRemoval t="9507" b="93662" l="10000" r="90000">
                                  <a14:foregroundMark x1="32195" y1="91549" x2="34024" y2="0"/>
                                  <a14:foregroundMark x1="65854" y1="93134" x2="65000" y2="0"/>
                                  <a14:foregroundMark x1="33780" y1="93662" x2="33780" y2="0"/>
                                  <a14:foregroundMark x1="69390" y1="91901" x2="69390" y2="0"/>
                                  <a14:foregroundMark x1="69024" y1="92958" x2="69024" y2="0"/>
                                  <a14:foregroundMark x1="67317" y1="15493" x2="67317" y2="0"/>
                                  <a14:foregroundMark x1="32439" y1="16373" x2="39024" y2="0"/>
                                  <a14:foregroundMark x1="37927" y1="15493" x2="67439" y2="0"/>
                                  <a14:foregroundMark x1="51951" y1="49472" x2="51951" y2="0"/>
                                  <a14:foregroundMark x1="69024" y1="92782" x2="69024" y2="0"/>
                                  <a14:foregroundMark x1="69512" y1="92430" x2="69634" y2="0"/>
                                </a14:backgroundRemoval>
                              </a14:imgEffect>
                            </a14:imgLayer>
                          </a14:imgProps>
                        </a:ext>
                        <a:ext uri="{28A0092B-C50C-407E-A947-70E740481C1C}">
                          <a14:useLocalDpi xmlns:a14="http://schemas.microsoft.com/office/drawing/2010/main" val="0"/>
                        </a:ext>
                      </a:extLst>
                    </a:blip>
                    <a:srcRect l="25097" t="9602" r="23752" b="3874"/>
                    <a:stretch>
                      <a:fillRect/>
                    </a:stretch>
                  </pic:blipFill>
                  <pic:spPr>
                    <a:xfrm>
                      <a:off x="0" y="0"/>
                      <a:ext cx="449153" cy="526232"/>
                    </a:xfrm>
                    <a:prstGeom prst="rect">
                      <a:avLst/>
                    </a:prstGeom>
                    <a:ln>
                      <a:noFill/>
                    </a:ln>
                  </pic:spPr>
                </pic:pic>
              </a:graphicData>
            </a:graphic>
          </wp:inline>
        </w:drawing>
      </w:r>
      <w:r>
        <w:rPr>
          <w:rFonts w:hint="eastAsia" w:ascii="Times New Roman"/>
          <w:i/>
          <w:u w:val="single"/>
        </w:rPr>
        <w:t xml:space="preserve">   </w:t>
      </w:r>
    </w:p>
    <w:p w14:paraId="5BCC4753">
      <w:pPr>
        <w:pStyle w:val="23"/>
        <w:ind w:firstLine="1365" w:firstLineChars="650"/>
        <w:rPr>
          <w:rFonts w:ascii="Times New Roman"/>
          <w:i/>
          <w:u w:val="single"/>
        </w:rPr>
      </w:pPr>
    </w:p>
    <w:p w14:paraId="562A7CD3">
      <w:pPr>
        <w:pStyle w:val="23"/>
        <w:ind w:firstLine="1785" w:firstLineChars="850"/>
        <w:rPr>
          <w:rFonts w:ascii="Times New Roman"/>
          <w:iCs/>
        </w:rPr>
      </w:pPr>
      <w:r>
        <w:rPr>
          <w:rFonts w:hint="eastAsia" w:ascii="Times New Roman"/>
          <w:iCs/>
        </w:rPr>
        <w:t>标记点1</w:t>
      </w:r>
    </w:p>
    <w:p w14:paraId="46D91B8C">
      <w:pPr>
        <w:pStyle w:val="23"/>
        <w:ind w:firstLine="1785" w:firstLineChars="850"/>
        <w:rPr>
          <w:rFonts w:ascii="Times New Roman"/>
          <w:iCs/>
        </w:rPr>
      </w:pPr>
      <w:r>
        <w:rPr>
          <w:rFonts w:hint="eastAsia" w:ascii="Times New Roman"/>
          <w:iCs/>
        </w:rPr>
        <w:t xml:space="preserve">                                             </w:t>
      </w:r>
    </w:p>
    <w:p w14:paraId="048F1A5D">
      <w:pPr>
        <w:pStyle w:val="23"/>
        <w:ind w:firstLine="1575" w:firstLineChars="750"/>
        <w:rPr>
          <w:rFonts w:ascii="Times New Roman"/>
          <w:i/>
          <w:u w:val="single"/>
        </w:rPr>
      </w:pPr>
      <w:r>
        <mc:AlternateContent>
          <mc:Choice Requires="wps">
            <w:drawing>
              <wp:anchor distT="0" distB="0" distL="114300" distR="114300" simplePos="0" relativeHeight="251675648" behindDoc="0" locked="0" layoutInCell="1" allowOverlap="1">
                <wp:simplePos x="0" y="0"/>
                <wp:positionH relativeFrom="column">
                  <wp:posOffset>1685925</wp:posOffset>
                </wp:positionH>
                <wp:positionV relativeFrom="paragraph">
                  <wp:posOffset>260350</wp:posOffset>
                </wp:positionV>
                <wp:extent cx="2773680" cy="0"/>
                <wp:effectExtent l="38100" t="76200" r="0" b="114300"/>
                <wp:wrapNone/>
                <wp:docPr id="542579580" name="直接箭头连接符 1"/>
                <wp:cNvGraphicFramePr/>
                <a:graphic xmlns:a="http://schemas.openxmlformats.org/drawingml/2006/main">
                  <a:graphicData uri="http://schemas.microsoft.com/office/word/2010/wordprocessingShape">
                    <wps:wsp>
                      <wps:cNvCnPr/>
                      <wps:spPr>
                        <a:xfrm>
                          <a:off x="0" y="0"/>
                          <a:ext cx="2773680" cy="0"/>
                        </a:xfrm>
                        <a:prstGeom prst="straightConnector1">
                          <a:avLst/>
                        </a:prstGeom>
                        <a:ln>
                          <a:solidFill>
                            <a:schemeClr val="tx1"/>
                          </a:solidFill>
                          <a:headEnd type="arrow"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 o:spid="_x0000_s1026" o:spt="32" type="#_x0000_t32" style="position:absolute;left:0pt;margin-left:132.75pt;margin-top:20.5pt;height:0pt;width:218.4pt;z-index:251675648;mso-width-relative:page;mso-height-relative:page;" filled="f" stroked="t" coordsize="21600,21600" o:gfxdata="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x+stNcAAAAJAQAADwAAAAAA&#10;AAABACAAAAAiAAAAZHJzL2Rvd25yZXYueG1sUEsBAhQAFAAAAAgAh07iQLU61t8UAgAACwQAAA4A&#10;AAAAAAAAAQAgAAAAJgEAAGRycy9lMm9Eb2MueG1sUEsFBgAAAAAGAAYAWQEAAKwFAAAAAA==&#10;">
                <v:fill on="f" focussize="0,0"/>
                <v:stroke color="#000000 [3213]" joinstyle="round" startarrow="open"/>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2219960</wp:posOffset>
                </wp:positionH>
                <wp:positionV relativeFrom="paragraph">
                  <wp:posOffset>51435</wp:posOffset>
                </wp:positionV>
                <wp:extent cx="914400" cy="294640"/>
                <wp:effectExtent l="0" t="0" r="0" b="0"/>
                <wp:wrapNone/>
                <wp:docPr id="1602324586" name="文本框 22"/>
                <wp:cNvGraphicFramePr/>
                <a:graphic xmlns:a="http://schemas.openxmlformats.org/drawingml/2006/main">
                  <a:graphicData uri="http://schemas.microsoft.com/office/word/2010/wordprocessingShape">
                    <wps:wsp>
                      <wps:cNvSpPr txBox="1"/>
                      <wps:spPr>
                        <a:xfrm>
                          <a:off x="0" y="0"/>
                          <a:ext cx="914400" cy="294640"/>
                        </a:xfrm>
                        <a:prstGeom prst="rect">
                          <a:avLst/>
                        </a:prstGeom>
                        <a:noFill/>
                        <a:ln w="6350">
                          <a:noFill/>
                        </a:ln>
                      </wps:spPr>
                      <wps:txbx>
                        <w:txbxContent>
                          <w:p w14:paraId="1048FA3B">
                            <w:r>
                              <w:rPr>
                                <w:rFonts w:hint="eastAsia"/>
                              </w:rPr>
                              <w:t>返回到初始位置</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22" o:spid="_x0000_s1026" o:spt="202" type="#_x0000_t202" style="position:absolute;left:0pt;margin-left:174.8pt;margin-top:4.05pt;height:23.2pt;width:72pt;mso-wrap-style:none;z-index:251676672;mso-width-relative:page;mso-height-relative:page;" filled="f" stroked="f" coordsize="21600,21600" o:gfxdata="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9TbaAAAACAEAAA8AAAAAAAAAAQAgAAAAIgAA&#10;AGRycy9kb3ducmV2LnhtbFBLAQIUABQAAAAIAIdO4kAzMsjPPwIAAG0EAAAOAAAAAAAAAAEAIAAA&#10;ACkBAABkcnMvZTJvRG9jLnhtbFBLBQYAAAAABgAGAFkBAADaBQAAAAA=&#10;">
                <v:fill on="f" focussize="0,0"/>
                <v:stroke on="f" weight="0.5pt"/>
                <v:imagedata o:title=""/>
                <o:lock v:ext="edit" aspectratio="f"/>
                <v:textbox>
                  <w:txbxContent>
                    <w:p w14:paraId="1048FA3B">
                      <w:r>
                        <w:rPr>
                          <w:rFonts w:hint="eastAsia"/>
                        </w:rPr>
                        <w:t>返回到初始位置</w:t>
                      </w:r>
                    </w:p>
                  </w:txbxContent>
                </v:textbox>
              </v:shape>
            </w:pict>
          </mc:Fallback>
        </mc:AlternateContent>
      </w:r>
      <w:r>
        <w:rPr>
          <w:rFonts w:hint="eastAsia" w:ascii="Times New Roman"/>
          <w:i/>
          <w:u w:val="single"/>
        </w:rPr>
        <mc:AlternateContent>
          <mc:Choice Requires="wps">
            <w:drawing>
              <wp:anchor distT="0" distB="0" distL="114300" distR="114300" simplePos="0" relativeHeight="251674624" behindDoc="0" locked="0" layoutInCell="1" allowOverlap="1">
                <wp:simplePos x="0" y="0"/>
                <wp:positionH relativeFrom="column">
                  <wp:posOffset>1566545</wp:posOffset>
                </wp:positionH>
                <wp:positionV relativeFrom="paragraph">
                  <wp:posOffset>594360</wp:posOffset>
                </wp:positionV>
                <wp:extent cx="147320" cy="127000"/>
                <wp:effectExtent l="0" t="0" r="24130" b="25400"/>
                <wp:wrapNone/>
                <wp:docPr id="2079471700" name="等腰三角形 9"/>
                <wp:cNvGraphicFramePr/>
                <a:graphic xmlns:a="http://schemas.openxmlformats.org/drawingml/2006/main">
                  <a:graphicData uri="http://schemas.microsoft.com/office/word/2010/wordprocessingShape">
                    <wps:wsp>
                      <wps:cNvSpPr/>
                      <wps:spPr>
                        <a:xfrm rot="10800000" flipV="1">
                          <a:off x="0" y="0"/>
                          <a:ext cx="147433" cy="127000"/>
                        </a:xfrm>
                        <a:prstGeom prst="triangl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9" o:spid="_x0000_s1026" o:spt="5" type="#_x0000_t5" style="position:absolute;left:0pt;flip:y;margin-left:123.35pt;margin-top:46.8pt;height:10pt;width:11.6pt;rotation:11796480f;z-index:251674624;v-text-anchor:middle;mso-width-relative:page;mso-height-relative:page;" filled="f" stroked="t" coordsize="21600,21600" o:gfxdata="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ll34vYAAAACgEAAA8AAAAA&#10;AAAAAQAgAAAAIgAAAGRycy9kb3ducmV2LnhtbFBLAQIUABQAAAAIAIdO4kBDb3kdhgIAAOEEAAAO&#10;AAAAAAAAAAEAIAAAACcBAABkcnMvZTJvRG9jLnhtbFBLBQYAAAAABgAGAFkBAAAfBgAAAAA=&#10;" adj="10800">
                <v:fill on="f" focussize="0,0"/>
                <v:stroke color="#000000 [3213]" joinstyle="round"/>
                <v:imagedata o:title=""/>
                <o:lock v:ext="edit" aspectratio="f"/>
              </v:shape>
            </w:pict>
          </mc:Fallback>
        </mc:AlternateContent>
      </w:r>
      <w:r>
        <w:rPr>
          <w:rFonts w:hint="eastAsia" w:ascii="Times New Roman"/>
          <w:i/>
          <w:u w:val="single"/>
        </w:rPr>
        <w:t xml:space="preserve">    </w:t>
      </w:r>
      <w:r>
        <w:rPr>
          <w:rFonts w:hint="eastAsia" w:ascii="Times New Roman"/>
          <w:i/>
          <w:u w:val="single"/>
        </w:rPr>
        <w:drawing>
          <wp:inline distT="0" distB="0" distL="0" distR="0">
            <wp:extent cx="443865" cy="520065"/>
            <wp:effectExtent l="0" t="0" r="0" b="0"/>
            <wp:docPr id="3231647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64787" name="图片 7"/>
                    <pic:cNvPicPr>
                      <a:picLocks noChangeAspect="1"/>
                    </pic:cNvPicPr>
                  </pic:nvPicPr>
                  <pic:blipFill>
                    <a:blip r:embed="rId6" cstate="print">
                      <a:extLst>
                        <a:ext uri="{BEBA8EAE-BF5A-486C-A8C5-ECC9F3942E4B}">
                          <a14:imgProps xmlns:a14="http://schemas.microsoft.com/office/drawing/2010/main">
                            <a14:imgLayer r:embed="rId7">
                              <a14:imgEffect>
                                <a14:backgroundRemoval t="9507" b="93662" l="10000" r="90000">
                                  <a14:foregroundMark x1="32195" y1="91549" x2="34024" y2="0"/>
                                  <a14:foregroundMark x1="65854" y1="93134" x2="65000" y2="0"/>
                                  <a14:foregroundMark x1="33780" y1="93662" x2="33780" y2="0"/>
                                  <a14:foregroundMark x1="69390" y1="91901" x2="69390" y2="0"/>
                                  <a14:foregroundMark x1="69024" y1="92958" x2="69024" y2="0"/>
                                  <a14:foregroundMark x1="67317" y1="15493" x2="67317" y2="0"/>
                                  <a14:foregroundMark x1="32439" y1="16373" x2="39024" y2="0"/>
                                  <a14:foregroundMark x1="37927" y1="15493" x2="67439" y2="0"/>
                                  <a14:foregroundMark x1="51951" y1="49472" x2="51951" y2="0"/>
                                  <a14:foregroundMark x1="69024" y1="92782" x2="69024" y2="0"/>
                                  <a14:foregroundMark x1="69512" y1="92430" x2="69634" y2="0"/>
                                </a14:backgroundRemoval>
                              </a14:imgEffect>
                            </a14:imgLayer>
                          </a14:imgProps>
                        </a:ext>
                        <a:ext uri="{28A0092B-C50C-407E-A947-70E740481C1C}">
                          <a14:useLocalDpi xmlns:a14="http://schemas.microsoft.com/office/drawing/2010/main" val="0"/>
                        </a:ext>
                      </a:extLst>
                    </a:blip>
                    <a:srcRect l="25097" t="9602" r="23752" b="3874"/>
                    <a:stretch>
                      <a:fillRect/>
                    </a:stretch>
                  </pic:blipFill>
                  <pic:spPr>
                    <a:xfrm>
                      <a:off x="0" y="0"/>
                      <a:ext cx="449153" cy="526232"/>
                    </a:xfrm>
                    <a:prstGeom prst="rect">
                      <a:avLst/>
                    </a:prstGeom>
                    <a:ln>
                      <a:noFill/>
                    </a:ln>
                  </pic:spPr>
                </pic:pic>
              </a:graphicData>
            </a:graphic>
          </wp:inline>
        </w:drawing>
      </w:r>
      <w:r>
        <w:rPr>
          <w:rFonts w:hint="eastAsia" w:ascii="Times New Roman"/>
          <w:i/>
          <w:u w:val="single"/>
        </w:rPr>
        <w:t xml:space="preserve">                                         </w:t>
      </w:r>
      <w:r>
        <w:rPr>
          <w:rFonts w:hint="eastAsia" w:ascii="Times New Roman"/>
          <w:i/>
          <w:u w:val="single"/>
        </w:rPr>
        <w:drawing>
          <wp:inline distT="0" distB="0" distL="0" distR="0">
            <wp:extent cx="443865" cy="520065"/>
            <wp:effectExtent l="0" t="0" r="0" b="0"/>
            <wp:docPr id="11198964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96444" name="图片 7"/>
                    <pic:cNvPicPr>
                      <a:picLocks noChangeAspect="1"/>
                    </pic:cNvPicPr>
                  </pic:nvPicPr>
                  <pic:blipFill>
                    <a:blip r:embed="rId6" cstate="print">
                      <a:extLst>
                        <a:ext uri="{BEBA8EAE-BF5A-486C-A8C5-ECC9F3942E4B}">
                          <a14:imgProps xmlns:a14="http://schemas.microsoft.com/office/drawing/2010/main">
                            <a14:imgLayer r:embed="rId7">
                              <a14:imgEffect>
                                <a14:backgroundRemoval t="9507" b="93662" l="10000" r="90000">
                                  <a14:foregroundMark x1="32195" y1="91549" x2="34024" y2="0"/>
                                  <a14:foregroundMark x1="65854" y1="93134" x2="65000" y2="0"/>
                                  <a14:foregroundMark x1="33780" y1="93662" x2="33780" y2="0"/>
                                  <a14:foregroundMark x1="69390" y1="91901" x2="69390" y2="0"/>
                                  <a14:foregroundMark x1="69024" y1="92958" x2="69024" y2="0"/>
                                  <a14:foregroundMark x1="67317" y1="15493" x2="67317" y2="0"/>
                                  <a14:foregroundMark x1="32439" y1="16373" x2="39024" y2="0"/>
                                  <a14:foregroundMark x1="37927" y1="15493" x2="67439" y2="0"/>
                                  <a14:foregroundMark x1="51951" y1="49472" x2="51951" y2="0"/>
                                  <a14:foregroundMark x1="69024" y1="92782" x2="69024" y2="0"/>
                                  <a14:foregroundMark x1="69512" y1="92430" x2="69634" y2="0"/>
                                </a14:backgroundRemoval>
                              </a14:imgEffect>
                            </a14:imgLayer>
                          </a14:imgProps>
                        </a:ext>
                        <a:ext uri="{28A0092B-C50C-407E-A947-70E740481C1C}">
                          <a14:useLocalDpi xmlns:a14="http://schemas.microsoft.com/office/drawing/2010/main" val="0"/>
                        </a:ext>
                      </a:extLst>
                    </a:blip>
                    <a:srcRect l="25097" t="9602" r="23752" b="3874"/>
                    <a:stretch>
                      <a:fillRect/>
                    </a:stretch>
                  </pic:blipFill>
                  <pic:spPr>
                    <a:xfrm>
                      <a:off x="0" y="0"/>
                      <a:ext cx="449153" cy="526232"/>
                    </a:xfrm>
                    <a:prstGeom prst="rect">
                      <a:avLst/>
                    </a:prstGeom>
                    <a:ln>
                      <a:noFill/>
                    </a:ln>
                  </pic:spPr>
                </pic:pic>
              </a:graphicData>
            </a:graphic>
          </wp:inline>
        </w:drawing>
      </w:r>
      <w:r>
        <w:rPr>
          <w:rFonts w:hint="eastAsia" w:ascii="Times New Roman"/>
          <w:i/>
          <w:u w:val="single"/>
        </w:rPr>
        <w:t xml:space="preserve">   </w:t>
      </w:r>
    </w:p>
    <w:p w14:paraId="1EBA2E90">
      <w:pPr>
        <w:pStyle w:val="23"/>
        <w:rPr>
          <w:rFonts w:ascii="Times New Roman"/>
        </w:rPr>
      </w:pPr>
    </w:p>
    <w:p w14:paraId="5F11BBFE">
      <w:pPr>
        <w:pStyle w:val="23"/>
        <w:ind w:firstLine="2205" w:firstLineChars="1050"/>
        <w:rPr>
          <w:rFonts w:ascii="Times New Roman"/>
          <w:iCs/>
        </w:rPr>
      </w:pPr>
      <w:r>
        <w:rPr>
          <w:rFonts w:hint="eastAsia" w:ascii="Times New Roman"/>
          <w:iCs/>
        </w:rPr>
        <w:t>标记点2</w:t>
      </w:r>
    </w:p>
    <w:p w14:paraId="7D462227">
      <w:pPr>
        <w:pStyle w:val="23"/>
        <w:ind w:firstLine="0" w:firstLineChars="0"/>
        <w:jc w:val="center"/>
        <w:rPr>
          <w:rFonts w:ascii="Times New Roman"/>
        </w:rPr>
      </w:pPr>
      <w:r>
        <w:rPr>
          <w:rFonts w:hint="eastAsia" w:ascii="Times New Roman"/>
          <w:iCs/>
        </w:rPr>
        <w:t>图2 长度重复定位精度的测量</w:t>
      </w:r>
    </w:p>
    <w:p w14:paraId="51BF77FC">
      <w:pPr>
        <w:pStyle w:val="43"/>
        <w:ind w:left="0"/>
        <w:rPr>
          <w:rFonts w:ascii="Times New Roman"/>
        </w:rPr>
      </w:pPr>
      <w:r>
        <w:rPr>
          <w:rFonts w:ascii="Times New Roman"/>
        </w:rPr>
        <w:t>图像质量</w:t>
      </w:r>
    </w:p>
    <w:p w14:paraId="7619EAD4">
      <w:pPr>
        <w:pStyle w:val="47"/>
        <w:spacing w:before="156" w:after="156"/>
        <w:ind w:left="0"/>
        <w:rPr>
          <w:rFonts w:ascii="Times New Roman"/>
        </w:rPr>
      </w:pPr>
      <w:r>
        <w:rPr>
          <w:rFonts w:hint="eastAsia" w:ascii="Times New Roman"/>
        </w:rPr>
        <w:t>试验条件</w:t>
      </w:r>
    </w:p>
    <w:p w14:paraId="212A83F2">
      <w:pPr>
        <w:pStyle w:val="23"/>
      </w:pPr>
      <w:r>
        <w:rPr>
          <w:rFonts w:hint="eastAsia"/>
        </w:rPr>
        <w:t>设备按照说明书规定的使用环境条件进行测试，如温度：25℃±5℃；相对湿度：30%~70%</w:t>
      </w:r>
    </w:p>
    <w:p w14:paraId="2097937A">
      <w:pPr>
        <w:pStyle w:val="47"/>
        <w:spacing w:before="156" w:after="156"/>
        <w:ind w:left="0"/>
      </w:pPr>
      <w:r>
        <w:rPr>
          <w:rFonts w:hint="eastAsia"/>
        </w:rPr>
        <w:t>仪器设备</w:t>
      </w:r>
    </w:p>
    <w:p w14:paraId="6AC3B006">
      <w:pPr>
        <w:pStyle w:val="23"/>
        <w:rPr>
          <w:rFonts w:hint="eastAsia"/>
        </w:rPr>
      </w:pPr>
      <w:r>
        <w:rPr>
          <w:rFonts w:hint="eastAsia"/>
        </w:rPr>
        <w:t>测试模具填充射频线圈规范区域体或射频线圈规范区域面。</w:t>
      </w:r>
    </w:p>
    <w:p w14:paraId="7044B855">
      <w:pPr>
        <w:pStyle w:val="23"/>
        <w:rPr>
          <w:rFonts w:hint="eastAsia"/>
        </w:rPr>
      </w:pPr>
      <w:r>
        <w:rPr>
          <w:rFonts w:hint="eastAsia"/>
        </w:rPr>
        <w:t>测试模具包括一个容器（例如由聚丙烯制成），其形状和大小适合于特定的测试并放置在接收线圈中。充满合适的磁共振测试模具填充物质（例如：水，或硅油）以满足特定的测试以及测试条件下的B0静态磁场强度。</w:t>
      </w:r>
    </w:p>
    <w:p w14:paraId="17609323">
      <w:pPr>
        <w:pStyle w:val="23"/>
        <w:rPr>
          <w:rFonts w:hint="eastAsia"/>
        </w:rPr>
      </w:pPr>
      <w:r>
        <w:rPr>
          <w:rFonts w:hint="eastAsia"/>
        </w:rPr>
        <w:t>某些，但不是全部的测试需要测试模具填充物质特性（自旋密度ρ，T1，T2）与患者身体相类似。[典型值：T1＜1200 ms，T2＞50 ms，自旋密度ρ= ρ_(H_2 0)（1±30％）]。通过往信号产生物质（如，水、矿物油、凝胶等）中掺杂适量弛豫修正剂（顺磁离子）能配成这种特性的材料。</w:t>
      </w:r>
    </w:p>
    <w:p w14:paraId="345DD1A1">
      <w:pPr>
        <w:pStyle w:val="47"/>
        <w:spacing w:before="156" w:after="156"/>
        <w:ind w:left="0"/>
        <w:rPr>
          <w:rFonts w:hint="eastAsia"/>
        </w:rPr>
      </w:pPr>
      <w:r>
        <w:rPr>
          <w:rFonts w:hint="eastAsia"/>
        </w:rPr>
        <w:t>试验方法</w:t>
      </w:r>
    </w:p>
    <w:p w14:paraId="39228E03">
      <w:pPr>
        <w:pStyle w:val="56"/>
        <w:numPr>
          <w:ilvl w:val="3"/>
          <w:numId w:val="2"/>
        </w:numPr>
        <w:spacing w:before="156" w:after="156"/>
      </w:pPr>
      <w:r>
        <w:t>信噪比</w:t>
      </w:r>
    </w:p>
    <w:p w14:paraId="3FB02483">
      <w:pPr>
        <w:pStyle w:val="23"/>
        <w:rPr>
          <w:rFonts w:ascii="Times New Roman"/>
        </w:rPr>
      </w:pPr>
      <w:r>
        <w:rPr>
          <w:rFonts w:ascii="Times New Roman"/>
        </w:rPr>
        <w:t>选择典型射频接收线圈（如容积线圈、体发射线圈的头部接收线圈）按照4.3</w:t>
      </w:r>
      <w:r>
        <w:rPr>
          <w:rFonts w:hint="eastAsia" w:ascii="Times New Roman"/>
        </w:rPr>
        <w:t>.3</w:t>
      </w:r>
      <w:r>
        <w:rPr>
          <w:rFonts w:ascii="Times New Roman"/>
        </w:rPr>
        <w:t>.1.1~4.3.</w:t>
      </w:r>
      <w:r>
        <w:rPr>
          <w:rFonts w:hint="eastAsia" w:ascii="Times New Roman"/>
        </w:rPr>
        <w:t>3.</w:t>
      </w:r>
      <w:r>
        <w:rPr>
          <w:rFonts w:ascii="Times New Roman"/>
        </w:rPr>
        <w:t>1.5的方法进行测试。</w:t>
      </w:r>
    </w:p>
    <w:p w14:paraId="3540B2B0">
      <w:pPr>
        <w:pStyle w:val="57"/>
        <w:spacing w:before="156" w:after="156"/>
      </w:pPr>
      <w:r>
        <w:t>扫描参数</w:t>
      </w:r>
    </w:p>
    <w:p w14:paraId="1C102A84">
      <w:pPr>
        <w:pStyle w:val="23"/>
        <w:rPr>
          <w:rFonts w:ascii="Times New Roman"/>
        </w:rPr>
      </w:pPr>
      <w:r>
        <w:rPr>
          <w:rFonts w:ascii="Times New Roman"/>
        </w:rPr>
        <w:t>采用下列序列：</w:t>
      </w:r>
    </w:p>
    <w:p w14:paraId="083CCD3D">
      <w:pPr>
        <w:numPr>
          <w:ilvl w:val="0"/>
          <w:numId w:val="17"/>
        </w:numPr>
        <w:autoSpaceDE w:val="0"/>
        <w:autoSpaceDN w:val="0"/>
        <w:adjustRightInd w:val="0"/>
        <w:jc w:val="left"/>
        <w:rPr>
          <w:kern w:val="0"/>
          <w:szCs w:val="21"/>
        </w:rPr>
      </w:pPr>
      <w:bookmarkStart w:id="53" w:name="OLE_LINK14"/>
      <w:r>
        <w:rPr>
          <w:kern w:val="0"/>
          <w:szCs w:val="21"/>
        </w:rPr>
        <w:t>二维单</w:t>
      </w:r>
      <w:r>
        <w:rPr>
          <w:szCs w:val="21"/>
        </w:rPr>
        <w:t>自旋回波</w:t>
      </w:r>
      <w:r>
        <w:rPr>
          <w:rFonts w:hint="eastAsia"/>
          <w:szCs w:val="21"/>
        </w:rPr>
        <w:t>、或快速自旋回波、或典型临床序列</w:t>
      </w:r>
    </w:p>
    <w:p w14:paraId="1F9A4B9E">
      <w:pPr>
        <w:numPr>
          <w:ilvl w:val="0"/>
          <w:numId w:val="17"/>
        </w:numPr>
        <w:autoSpaceDE w:val="0"/>
        <w:autoSpaceDN w:val="0"/>
        <w:adjustRightInd w:val="0"/>
        <w:jc w:val="left"/>
        <w:rPr>
          <w:kern w:val="0"/>
          <w:szCs w:val="21"/>
        </w:rPr>
      </w:pPr>
      <w:r>
        <w:rPr>
          <w:szCs w:val="21"/>
        </w:rPr>
        <w:t>单层，中心定位在</w:t>
      </w:r>
      <w:r>
        <w:rPr>
          <w:rFonts w:eastAsiaTheme="minorEastAsia"/>
          <w:szCs w:val="21"/>
        </w:rPr>
        <w:t>等中心</w:t>
      </w:r>
      <w:r>
        <w:rPr>
          <w:szCs w:val="21"/>
        </w:rPr>
        <w:t>的±</w:t>
      </w:r>
      <w:r>
        <w:rPr>
          <w:kern w:val="0"/>
          <w:szCs w:val="21"/>
        </w:rPr>
        <w:t>30mm（片层选择方向的位移）</w:t>
      </w:r>
      <w:r>
        <w:rPr>
          <w:szCs w:val="21"/>
        </w:rPr>
        <w:t>，</w:t>
      </w:r>
    </w:p>
    <w:p w14:paraId="7D53B78C">
      <w:pPr>
        <w:numPr>
          <w:ilvl w:val="0"/>
          <w:numId w:val="17"/>
        </w:numPr>
        <w:autoSpaceDE w:val="0"/>
        <w:autoSpaceDN w:val="0"/>
        <w:adjustRightInd w:val="0"/>
        <w:jc w:val="left"/>
        <w:rPr>
          <w:kern w:val="0"/>
          <w:szCs w:val="21"/>
        </w:rPr>
      </w:pPr>
      <w:r>
        <w:rPr>
          <w:szCs w:val="21"/>
        </w:rPr>
        <w:t>扫描层面：依次为横断面、矢状面、冠状面，</w:t>
      </w:r>
    </w:p>
    <w:p w14:paraId="0FB57D2F">
      <w:pPr>
        <w:numPr>
          <w:ilvl w:val="0"/>
          <w:numId w:val="17"/>
        </w:numPr>
        <w:autoSpaceDE w:val="0"/>
        <w:autoSpaceDN w:val="0"/>
        <w:adjustRightInd w:val="0"/>
        <w:jc w:val="left"/>
        <w:rPr>
          <w:kern w:val="0"/>
          <w:szCs w:val="21"/>
        </w:rPr>
      </w:pPr>
      <w:r>
        <w:rPr>
          <w:iCs/>
          <w:kern w:val="0"/>
          <w:szCs w:val="21"/>
        </w:rPr>
        <w:t>T</w:t>
      </w:r>
      <w:r>
        <w:rPr>
          <w:kern w:val="0"/>
          <w:szCs w:val="21"/>
        </w:rPr>
        <w:t>R ≥</w:t>
      </w:r>
      <w:r>
        <w:rPr>
          <w:szCs w:val="21"/>
        </w:rPr>
        <w:t>信号产生材料的</w:t>
      </w:r>
      <w:r>
        <w:rPr>
          <w:kern w:val="0"/>
          <w:szCs w:val="21"/>
        </w:rPr>
        <w:t>3</w:t>
      </w:r>
      <w:r>
        <w:rPr>
          <w:i/>
          <w:iCs/>
          <w:kern w:val="0"/>
          <w:szCs w:val="21"/>
        </w:rPr>
        <w:t>T</w:t>
      </w:r>
      <w:r>
        <w:rPr>
          <w:kern w:val="0"/>
          <w:szCs w:val="21"/>
          <w:vertAlign w:val="subscript"/>
        </w:rPr>
        <w:t>1</w:t>
      </w:r>
      <w:r>
        <w:rPr>
          <w:szCs w:val="21"/>
        </w:rPr>
        <w:t>，</w:t>
      </w:r>
    </w:p>
    <w:p w14:paraId="40902959">
      <w:pPr>
        <w:pStyle w:val="23"/>
        <w:numPr>
          <w:ilvl w:val="0"/>
          <w:numId w:val="17"/>
        </w:numPr>
        <w:tabs>
          <w:tab w:val="clear" w:pos="4201"/>
          <w:tab w:val="clear" w:pos="9298"/>
        </w:tabs>
        <w:ind w:firstLineChars="0"/>
        <w:rPr>
          <w:rFonts w:ascii="Times New Roman" w:eastAsia="黑体"/>
        </w:rPr>
      </w:pPr>
      <w:r>
        <w:rPr>
          <w:rFonts w:ascii="Times New Roman"/>
        </w:rPr>
        <w:t>TE</w:t>
      </w:r>
      <w:r>
        <w:rPr>
          <w:rFonts w:ascii="Times New Roman"/>
          <w:szCs w:val="21"/>
        </w:rPr>
        <w:t xml:space="preserve"> = 30 ms或</w:t>
      </w:r>
      <w:r>
        <w:rPr>
          <w:rFonts w:ascii="Times New Roman"/>
        </w:rPr>
        <w:sym w:font="Symbol" w:char="F0A3"/>
      </w:r>
      <w:r>
        <w:rPr>
          <w:rFonts w:ascii="Times New Roman"/>
          <w:szCs w:val="21"/>
        </w:rPr>
        <w:t>信号产生材料的（1/3）</w:t>
      </w:r>
      <w:r>
        <w:rPr>
          <w:rFonts w:ascii="Times New Roman"/>
          <w:i/>
          <w:iCs/>
          <w:szCs w:val="21"/>
        </w:rPr>
        <w:t>T</w:t>
      </w:r>
      <w:r>
        <w:rPr>
          <w:rFonts w:ascii="Times New Roman"/>
          <w:szCs w:val="21"/>
          <w:vertAlign w:val="subscript"/>
        </w:rPr>
        <w:t>2</w:t>
      </w:r>
      <w:r>
        <w:rPr>
          <w:rFonts w:ascii="Times New Roman"/>
          <w:szCs w:val="21"/>
        </w:rPr>
        <w:t>，取二者小者，</w:t>
      </w:r>
    </w:p>
    <w:p w14:paraId="758F1ACA">
      <w:pPr>
        <w:numPr>
          <w:ilvl w:val="0"/>
          <w:numId w:val="17"/>
        </w:numPr>
        <w:autoSpaceDE w:val="0"/>
        <w:autoSpaceDN w:val="0"/>
        <w:adjustRightInd w:val="0"/>
        <w:jc w:val="left"/>
        <w:rPr>
          <w:kern w:val="0"/>
          <w:szCs w:val="21"/>
        </w:rPr>
      </w:pPr>
      <w:r>
        <w:rPr>
          <w:kern w:val="0"/>
          <w:szCs w:val="21"/>
        </w:rPr>
        <w:t>BPP设置为临床相关的值，这可能取决于场强（如0.5T时取100 Hz/像素,1.5T时取300 Hz/像素,3T时取600 Hz/像素），</w:t>
      </w:r>
    </w:p>
    <w:p w14:paraId="0E03A0F6">
      <w:pPr>
        <w:numPr>
          <w:ilvl w:val="0"/>
          <w:numId w:val="17"/>
        </w:numPr>
        <w:autoSpaceDE w:val="0"/>
        <w:autoSpaceDN w:val="0"/>
        <w:adjustRightInd w:val="0"/>
        <w:jc w:val="left"/>
        <w:rPr>
          <w:kern w:val="0"/>
          <w:szCs w:val="21"/>
        </w:rPr>
      </w:pPr>
      <w:r>
        <w:rPr>
          <w:szCs w:val="21"/>
        </w:rPr>
        <w:t>FOV足够大以覆盖测试模具，</w:t>
      </w:r>
    </w:p>
    <w:p w14:paraId="3C42AE4C">
      <w:pPr>
        <w:numPr>
          <w:ilvl w:val="0"/>
          <w:numId w:val="17"/>
        </w:numPr>
        <w:autoSpaceDE w:val="0"/>
        <w:autoSpaceDN w:val="0"/>
        <w:adjustRightInd w:val="0"/>
        <w:jc w:val="left"/>
        <w:rPr>
          <w:kern w:val="0"/>
          <w:szCs w:val="21"/>
        </w:rPr>
      </w:pPr>
      <w:r>
        <w:rPr>
          <w:kern w:val="0"/>
          <w:szCs w:val="21"/>
        </w:rPr>
        <w:t>矩阵256×256</w:t>
      </w:r>
      <w:bookmarkStart w:id="72" w:name="_GoBack"/>
      <w:bookmarkEnd w:id="72"/>
      <w:r>
        <w:rPr>
          <w:kern w:val="0"/>
          <w:szCs w:val="21"/>
        </w:rPr>
        <w:t>，</w:t>
      </w:r>
    </w:p>
    <w:p w14:paraId="65256489">
      <w:pPr>
        <w:numPr>
          <w:ilvl w:val="0"/>
          <w:numId w:val="17"/>
        </w:numPr>
        <w:autoSpaceDE w:val="0"/>
        <w:autoSpaceDN w:val="0"/>
        <w:adjustRightInd w:val="0"/>
        <w:jc w:val="left"/>
        <w:rPr>
          <w:kern w:val="0"/>
          <w:szCs w:val="21"/>
        </w:rPr>
      </w:pPr>
      <w:r>
        <w:rPr>
          <w:rFonts w:eastAsia="黑体"/>
          <w:kern w:val="0"/>
          <w:szCs w:val="21"/>
        </w:rPr>
        <w:t>层厚</w:t>
      </w:r>
      <w:r>
        <w:rPr>
          <w:kern w:val="0"/>
          <w:szCs w:val="21"/>
        </w:rPr>
        <w:t>5 mm，和</w:t>
      </w:r>
    </w:p>
    <w:p w14:paraId="668ECE2F">
      <w:pPr>
        <w:numPr>
          <w:ilvl w:val="0"/>
          <w:numId w:val="17"/>
        </w:numPr>
        <w:autoSpaceDE w:val="0"/>
        <w:autoSpaceDN w:val="0"/>
        <w:adjustRightInd w:val="0"/>
        <w:jc w:val="left"/>
        <w:rPr>
          <w:kern w:val="0"/>
          <w:szCs w:val="21"/>
        </w:rPr>
      </w:pPr>
      <w:r>
        <w:rPr>
          <w:kern w:val="0"/>
          <w:szCs w:val="21"/>
        </w:rPr>
        <w:t>不允许信号平均或者相位过采样。</w:t>
      </w:r>
    </w:p>
    <w:p w14:paraId="72D7C738">
      <w:pPr>
        <w:pStyle w:val="145"/>
        <w:autoSpaceDE w:val="0"/>
        <w:autoSpaceDN w:val="0"/>
        <w:adjustRightInd w:val="0"/>
        <w:ind w:left="420" w:firstLine="0" w:firstLineChars="0"/>
        <w:jc w:val="left"/>
      </w:pPr>
      <w:r>
        <w:rPr>
          <w:kern w:val="0"/>
          <w:szCs w:val="21"/>
        </w:rPr>
        <w:t>任何与上述参数的偏差</w:t>
      </w:r>
      <w:r>
        <w:rPr>
          <w:rFonts w:hint="eastAsia"/>
          <w:kern w:val="0"/>
          <w:szCs w:val="21"/>
        </w:rPr>
        <w:t>需</w:t>
      </w:r>
      <w:r>
        <w:rPr>
          <w:kern w:val="0"/>
          <w:szCs w:val="21"/>
        </w:rPr>
        <w:t>明确说明并证明其合理性。</w:t>
      </w:r>
      <w:bookmarkEnd w:id="53"/>
    </w:p>
    <w:p w14:paraId="5ABD43C0">
      <w:pPr>
        <w:pStyle w:val="57"/>
        <w:spacing w:before="156" w:after="156"/>
      </w:pPr>
      <w:r>
        <w:t>测量步骤</w:t>
      </w:r>
    </w:p>
    <w:p w14:paraId="1A36C6F7">
      <w:pPr>
        <w:pStyle w:val="23"/>
        <w:rPr>
          <w:rFonts w:ascii="Times New Roman"/>
        </w:rPr>
      </w:pPr>
      <w:r>
        <w:rPr>
          <w:rFonts w:ascii="Times New Roman"/>
        </w:rPr>
        <w:t>测试模具和射频线圈的放置，模拟典型诊断位置。</w:t>
      </w:r>
    </w:p>
    <w:p w14:paraId="427BB22B">
      <w:pPr>
        <w:pStyle w:val="23"/>
        <w:rPr>
          <w:rFonts w:ascii="Times New Roman"/>
        </w:rPr>
      </w:pPr>
      <w:r>
        <w:rPr>
          <w:rFonts w:ascii="Times New Roman"/>
        </w:rPr>
        <w:t>测试模具定位后，为了防止漩涡伪影，在扫描之前等待适当时间（举例，对大的测试模具等待15min）。</w:t>
      </w:r>
    </w:p>
    <w:p w14:paraId="76565C4A">
      <w:pPr>
        <w:pStyle w:val="23"/>
        <w:rPr>
          <w:rFonts w:ascii="Times New Roman"/>
        </w:rPr>
      </w:pPr>
      <w:r>
        <w:rPr>
          <w:rFonts w:ascii="Times New Roman"/>
        </w:rPr>
        <w:t>对同一层面连续扫描两次（图像1和图像2），第一次扫描结束到第二次扫描开始之间的时间小于5min。两次扫描期间不调整或校准。</w:t>
      </w:r>
    </w:p>
    <w:p w14:paraId="2778FC99">
      <w:pPr>
        <w:pStyle w:val="57"/>
        <w:spacing w:before="156" w:after="156"/>
      </w:pPr>
      <w:bookmarkStart w:id="54" w:name="_Hlk198117989"/>
      <w:r>
        <w:t>数据分析和容差</w:t>
      </w:r>
    </w:p>
    <w:bookmarkEnd w:id="54"/>
    <w:p w14:paraId="32F2EF4D">
      <w:pPr>
        <w:pStyle w:val="23"/>
        <w:rPr>
          <w:rFonts w:ascii="Times New Roman"/>
        </w:rPr>
      </w:pPr>
      <w:r>
        <w:rPr>
          <w:rFonts w:ascii="Times New Roman"/>
        </w:rPr>
        <w:t>ROI至少包含射频线圈规范区域面的85％。</w:t>
      </w:r>
    </w:p>
    <w:p w14:paraId="2CD322A8">
      <w:pPr>
        <w:pStyle w:val="23"/>
        <w:rPr>
          <w:rFonts w:ascii="Times New Roman"/>
        </w:rPr>
      </w:pPr>
      <w:r>
        <w:rPr>
          <w:rFonts w:ascii="Times New Roman"/>
        </w:rPr>
        <w:t>步骤1：确定图像1中在ROI内的平均像素值。其结果（减去任何基线像素偏离值）称作图像信号S。</w:t>
      </w:r>
    </w:p>
    <w:p w14:paraId="3AE55E06">
      <w:pPr>
        <w:pStyle w:val="23"/>
        <w:rPr>
          <w:rFonts w:ascii="Times New Roman"/>
        </w:rPr>
      </w:pPr>
      <w:r>
        <w:rPr>
          <w:rFonts w:ascii="Times New Roman"/>
        </w:rPr>
        <w:t>步骤2：计算</w:t>
      </w:r>
      <w:r>
        <w:rPr>
          <w:rFonts w:hint="eastAsia" w:ascii="Times New Roman"/>
        </w:rPr>
        <w:t>图像1</w:t>
      </w:r>
      <w:r>
        <w:rPr>
          <w:rFonts w:ascii="Times New Roman"/>
        </w:rPr>
        <w:t>像素对</w:t>
      </w:r>
      <w:r>
        <w:rPr>
          <w:rFonts w:hint="eastAsia" w:ascii="Times New Roman"/>
        </w:rPr>
        <w:t>图像2</w:t>
      </w:r>
      <w:r>
        <w:rPr>
          <w:rFonts w:ascii="Times New Roman"/>
        </w:rPr>
        <w:t>像素的差得图像3，如下：图像3＝图像1 - 图像2。</w:t>
      </w:r>
    </w:p>
    <w:p w14:paraId="0C54E19A">
      <w:pPr>
        <w:pStyle w:val="23"/>
        <w:rPr>
          <w:rFonts w:ascii="Times New Roman"/>
        </w:rPr>
      </w:pPr>
      <w:r>
        <w:rPr>
          <w:rFonts w:ascii="Times New Roman"/>
        </w:rPr>
        <w:t>减法处理避免错误结果。即像素值越出磁共振设备所允许的最小（或最大）的像素值（例如，负值）。</w:t>
      </w:r>
    </w:p>
    <w:p w14:paraId="2F5F871F">
      <w:pPr>
        <w:pStyle w:val="23"/>
        <w:rPr>
          <w:rFonts w:ascii="Times New Roman"/>
        </w:rPr>
      </w:pPr>
      <w:r>
        <w:rPr>
          <w:rFonts w:ascii="Times New Roman"/>
        </w:rPr>
        <w:t>步骤3：引用在步骤1中测量S所用的ROI到图像3的相同位置，并计算ROI标准方差（σ）。</w:t>
      </w:r>
    </w:p>
    <w:p w14:paraId="771225BB">
      <w:pPr>
        <w:pStyle w:val="23"/>
        <w:rPr>
          <w:rFonts w:ascii="Times New Roman"/>
          <w:i/>
        </w:rPr>
      </w:pPr>
      <w:r>
        <w:rPr>
          <w:rFonts w:ascii="Times New Roman"/>
        </w:rPr>
        <w:t>步骤4，计算SNR：</w:t>
      </w:r>
      <m:oMath>
        <m:r>
          <m:rPr/>
          <w:rPr>
            <w:rFonts w:ascii="Cambria Math" w:hAnsi="Cambria Math" w:eastAsia="Cambria Math"/>
            <w:szCs w:val="21"/>
          </w:rPr>
          <m:t>S</m:t>
        </m:r>
        <m:r>
          <m:rPr/>
          <w:rPr>
            <w:rFonts w:ascii="Cambria Math" w:hAnsi="Cambria Math" w:eastAsiaTheme="minorEastAsia"/>
            <w:szCs w:val="21"/>
          </w:rPr>
          <m:t>NR</m:t>
        </m:r>
        <m:r>
          <m:rPr>
            <m:sty m:val="p"/>
          </m:rPr>
          <w:rPr>
            <w:rFonts w:ascii="Cambria Math" w:hAnsi="Cambria Math" w:eastAsia="Cambria Math"/>
            <w:szCs w:val="21"/>
          </w:rPr>
          <m:t>=</m:t>
        </m:r>
        <m:f>
          <m:fPr>
            <m:ctrlPr>
              <w:rPr>
                <w:rFonts w:ascii="Cambria Math" w:hAnsi="Cambria Math" w:eastAsia="Cambria Math"/>
                <w:szCs w:val="21"/>
              </w:rPr>
            </m:ctrlPr>
          </m:fPr>
          <m:num>
            <m:r>
              <m:rPr/>
              <w:rPr>
                <w:rFonts w:ascii="Cambria Math" w:hAnsi="Cambria Math" w:eastAsia="Cambria Math"/>
                <w:szCs w:val="21"/>
              </w:rPr>
              <m:t>S</m:t>
            </m:r>
            <m:ctrlPr>
              <w:rPr>
                <w:rFonts w:ascii="Cambria Math" w:hAnsi="Cambria Math" w:eastAsia="Cambria Math"/>
                <w:szCs w:val="21"/>
              </w:rPr>
            </m:ctrlPr>
          </m:num>
          <m:den>
            <m:r>
              <m:rPr/>
              <w:rPr>
                <w:rFonts w:ascii="Cambria Math" w:hAnsi="Cambria Math"/>
                <w:szCs w:val="21"/>
              </w:rPr>
              <m:t>（</m:t>
            </m:r>
            <m:f>
              <m:fPr>
                <m:ctrlPr>
                  <w:rPr>
                    <w:rFonts w:ascii="Cambria Math" w:hAnsi="Cambria Math" w:eastAsia="Cambria Math"/>
                    <w:szCs w:val="21"/>
                  </w:rPr>
                </m:ctrlPr>
              </m:fPr>
              <m:num>
                <m:r>
                  <m:rPr>
                    <m:sty m:val="p"/>
                  </m:rPr>
                  <w:rPr>
                    <w:rFonts w:ascii="Cambria Math" w:hAnsi="Cambria Math" w:eastAsia="Cambria Math"/>
                    <w:szCs w:val="21"/>
                  </w:rPr>
                  <m:t>σ</m:t>
                </m:r>
                <m:ctrlPr>
                  <w:rPr>
                    <w:rFonts w:ascii="Cambria Math" w:hAnsi="Cambria Math" w:eastAsia="Cambria Math"/>
                    <w:szCs w:val="21"/>
                  </w:rPr>
                </m:ctrlPr>
              </m:num>
              <m:den>
                <m:rad>
                  <m:radPr>
                    <m:degHide m:val="1"/>
                    <m:ctrlPr>
                      <w:rPr>
                        <w:rFonts w:ascii="Cambria Math" w:hAnsi="Cambria Math" w:eastAsia="Cambria Math"/>
                        <w:i/>
                        <w:szCs w:val="21"/>
                      </w:rPr>
                    </m:ctrlPr>
                  </m:radPr>
                  <m:deg>
                    <m:ctrlPr>
                      <w:rPr>
                        <w:rFonts w:ascii="Cambria Math" w:hAnsi="Cambria Math" w:eastAsia="Cambria Math"/>
                        <w:i/>
                        <w:szCs w:val="21"/>
                      </w:rPr>
                    </m:ctrlPr>
                  </m:deg>
                  <m:e>
                    <m:r>
                      <m:rPr/>
                      <w:rPr>
                        <w:rFonts w:ascii="Cambria Math" w:hAnsi="Cambria Math" w:eastAsia="Cambria Math"/>
                        <w:szCs w:val="21"/>
                      </w:rPr>
                      <m:t>2</m:t>
                    </m:r>
                    <m:ctrlPr>
                      <w:rPr>
                        <w:rFonts w:ascii="Cambria Math" w:hAnsi="Cambria Math" w:eastAsia="Cambria Math"/>
                        <w:i/>
                        <w:szCs w:val="21"/>
                      </w:rPr>
                    </m:ctrlPr>
                  </m:e>
                </m:rad>
                <m:ctrlPr>
                  <w:rPr>
                    <w:rFonts w:ascii="Cambria Math" w:hAnsi="Cambria Math" w:eastAsia="Cambria Math"/>
                    <w:szCs w:val="21"/>
                  </w:rPr>
                </m:ctrlPr>
              </m:den>
            </m:f>
            <m:r>
              <m:rPr/>
              <w:rPr>
                <w:rFonts w:ascii="Cambria Math" w:hAnsi="Cambria Math"/>
                <w:szCs w:val="21"/>
              </w:rPr>
              <m:t>）</m:t>
            </m:r>
            <m:ctrlPr>
              <w:rPr>
                <w:rFonts w:ascii="Cambria Math" w:hAnsi="Cambria Math" w:eastAsia="Cambria Math"/>
                <w:szCs w:val="21"/>
              </w:rPr>
            </m:ctrlPr>
          </m:den>
        </m:f>
      </m:oMath>
    </w:p>
    <w:p w14:paraId="6416666A">
      <w:pPr>
        <w:pStyle w:val="57"/>
        <w:spacing w:before="156" w:after="156"/>
      </w:pPr>
      <w:r>
        <w:t>结果报告</w:t>
      </w:r>
    </w:p>
    <w:p w14:paraId="60010178">
      <w:pPr>
        <w:pStyle w:val="23"/>
        <w:ind w:firstLine="0" w:firstLineChars="0"/>
        <w:jc w:val="center"/>
      </w:pPr>
      <w:r>
        <w:rPr>
          <w:rFonts w:hint="eastAsia"/>
        </w:rPr>
        <w:t>表1 信噪比结果报告</w:t>
      </w:r>
    </w:p>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2"/>
        <w:gridCol w:w="9"/>
        <w:gridCol w:w="13"/>
        <w:gridCol w:w="4233"/>
      </w:tblGrid>
      <w:tr w14:paraId="68B2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77ED6114">
            <w:pPr>
              <w:jc w:val="center"/>
              <w:rPr>
                <w:rFonts w:eastAsiaTheme="minorEastAsia"/>
                <w:bCs/>
                <w:sz w:val="18"/>
                <w:szCs w:val="18"/>
              </w:rPr>
            </w:pPr>
            <w:r>
              <w:rPr>
                <w:rFonts w:eastAsiaTheme="minorEastAsia"/>
                <w:bCs/>
                <w:sz w:val="18"/>
                <w:szCs w:val="18"/>
              </w:rPr>
              <w:t>通用参数</w:t>
            </w:r>
          </w:p>
        </w:tc>
      </w:tr>
      <w:tr w14:paraId="4D21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54F165E">
            <w:pPr>
              <w:jc w:val="center"/>
              <w:rPr>
                <w:rFonts w:eastAsiaTheme="minorEastAsia"/>
                <w:bCs/>
                <w:sz w:val="18"/>
                <w:szCs w:val="18"/>
              </w:rPr>
            </w:pPr>
            <w:r>
              <w:rPr>
                <w:rFonts w:eastAsiaTheme="minorEastAsia"/>
                <w:bCs/>
                <w:sz w:val="18"/>
                <w:szCs w:val="18"/>
              </w:rPr>
              <w:t>参数</w:t>
            </w:r>
          </w:p>
        </w:tc>
        <w:tc>
          <w:tcPr>
            <w:tcW w:w="4233" w:type="dxa"/>
          </w:tcPr>
          <w:p w14:paraId="2619F6E8">
            <w:pPr>
              <w:jc w:val="center"/>
              <w:rPr>
                <w:rFonts w:eastAsiaTheme="minorEastAsia"/>
                <w:bCs/>
                <w:sz w:val="18"/>
                <w:szCs w:val="18"/>
              </w:rPr>
            </w:pPr>
            <w:r>
              <w:rPr>
                <w:rFonts w:eastAsiaTheme="minorEastAsia"/>
                <w:bCs/>
                <w:sz w:val="18"/>
                <w:szCs w:val="18"/>
              </w:rPr>
              <w:t>值/单位</w:t>
            </w:r>
          </w:p>
        </w:tc>
      </w:tr>
      <w:tr w14:paraId="629C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28626A82">
            <w:pPr>
              <w:jc w:val="center"/>
              <w:rPr>
                <w:rFonts w:eastAsiaTheme="minorEastAsia"/>
                <w:bCs/>
                <w:sz w:val="18"/>
                <w:szCs w:val="18"/>
              </w:rPr>
            </w:pPr>
            <w:r>
              <w:rPr>
                <w:rFonts w:eastAsiaTheme="minorEastAsia"/>
                <w:bCs/>
                <w:sz w:val="18"/>
                <w:szCs w:val="18"/>
              </w:rPr>
              <w:t>概要</w:t>
            </w:r>
          </w:p>
        </w:tc>
      </w:tr>
      <w:tr w14:paraId="6CC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35248229">
            <w:pPr>
              <w:rPr>
                <w:rFonts w:eastAsiaTheme="minorEastAsia"/>
                <w:bCs/>
                <w:sz w:val="18"/>
                <w:szCs w:val="18"/>
              </w:rPr>
            </w:pPr>
            <w:r>
              <w:rPr>
                <w:rFonts w:eastAsiaTheme="minorEastAsia"/>
                <w:bCs/>
                <w:sz w:val="18"/>
                <w:szCs w:val="18"/>
              </w:rPr>
              <w:t>磁共振设备供应商/型号</w:t>
            </w:r>
          </w:p>
        </w:tc>
        <w:tc>
          <w:tcPr>
            <w:tcW w:w="4233" w:type="dxa"/>
          </w:tcPr>
          <w:p w14:paraId="54A22E18">
            <w:pPr>
              <w:rPr>
                <w:rFonts w:eastAsiaTheme="minorEastAsia"/>
                <w:bCs/>
                <w:sz w:val="18"/>
                <w:szCs w:val="18"/>
              </w:rPr>
            </w:pPr>
          </w:p>
        </w:tc>
      </w:tr>
      <w:tr w14:paraId="65E3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24B2802">
            <w:pPr>
              <w:rPr>
                <w:rFonts w:eastAsiaTheme="minorEastAsia"/>
                <w:bCs/>
                <w:sz w:val="18"/>
                <w:szCs w:val="18"/>
              </w:rPr>
            </w:pPr>
            <w:r>
              <w:rPr>
                <w:rFonts w:eastAsiaTheme="minorEastAsia"/>
                <w:bCs/>
                <w:sz w:val="18"/>
                <w:szCs w:val="18"/>
              </w:rPr>
              <w:t>软件版本</w:t>
            </w:r>
          </w:p>
        </w:tc>
        <w:tc>
          <w:tcPr>
            <w:tcW w:w="4233" w:type="dxa"/>
          </w:tcPr>
          <w:p w14:paraId="784ABA8D">
            <w:pPr>
              <w:rPr>
                <w:rFonts w:eastAsiaTheme="minorEastAsia"/>
                <w:bCs/>
                <w:sz w:val="18"/>
                <w:szCs w:val="18"/>
              </w:rPr>
            </w:pPr>
          </w:p>
        </w:tc>
      </w:tr>
      <w:tr w14:paraId="153C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A89D860">
            <w:pPr>
              <w:rPr>
                <w:rFonts w:eastAsiaTheme="minorEastAsia"/>
                <w:bCs/>
                <w:sz w:val="18"/>
                <w:szCs w:val="18"/>
              </w:rPr>
            </w:pPr>
            <w:r>
              <w:rPr>
                <w:rFonts w:eastAsiaTheme="minorEastAsia"/>
                <w:bCs/>
                <w:sz w:val="18"/>
                <w:szCs w:val="18"/>
              </w:rPr>
              <w:t>协议ID（可选）</w:t>
            </w:r>
          </w:p>
        </w:tc>
        <w:tc>
          <w:tcPr>
            <w:tcW w:w="4233" w:type="dxa"/>
          </w:tcPr>
          <w:p w14:paraId="453ECC9E">
            <w:pPr>
              <w:rPr>
                <w:rFonts w:eastAsiaTheme="minorEastAsia"/>
                <w:bCs/>
                <w:sz w:val="18"/>
                <w:szCs w:val="18"/>
              </w:rPr>
            </w:pPr>
          </w:p>
        </w:tc>
      </w:tr>
      <w:tr w14:paraId="400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50C27EAE">
            <w:pPr>
              <w:rPr>
                <w:rFonts w:eastAsiaTheme="minorEastAsia"/>
                <w:bCs/>
                <w:sz w:val="18"/>
                <w:szCs w:val="18"/>
              </w:rPr>
            </w:pPr>
            <w:r>
              <w:rPr>
                <w:rFonts w:eastAsiaTheme="minorEastAsia"/>
                <w:bCs/>
                <w:sz w:val="18"/>
                <w:szCs w:val="18"/>
              </w:rPr>
              <w:t>场强</w:t>
            </w:r>
          </w:p>
        </w:tc>
        <w:tc>
          <w:tcPr>
            <w:tcW w:w="4233" w:type="dxa"/>
          </w:tcPr>
          <w:p w14:paraId="5082ABDB">
            <w:pPr>
              <w:rPr>
                <w:rFonts w:eastAsiaTheme="minorEastAsia"/>
                <w:bCs/>
                <w:sz w:val="18"/>
                <w:szCs w:val="18"/>
              </w:rPr>
            </w:pPr>
            <w:r>
              <w:rPr>
                <w:rFonts w:eastAsiaTheme="minorEastAsia"/>
                <w:bCs/>
                <w:sz w:val="18"/>
                <w:szCs w:val="18"/>
              </w:rPr>
              <w:t>T</w:t>
            </w:r>
          </w:p>
        </w:tc>
      </w:tr>
      <w:tr w14:paraId="77B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07EF0595">
            <w:pPr>
              <w:jc w:val="center"/>
              <w:rPr>
                <w:rFonts w:eastAsiaTheme="minorEastAsia"/>
                <w:bCs/>
                <w:sz w:val="18"/>
                <w:szCs w:val="18"/>
              </w:rPr>
            </w:pPr>
            <w:r>
              <w:rPr>
                <w:rFonts w:eastAsiaTheme="minorEastAsia"/>
                <w:bCs/>
                <w:sz w:val="18"/>
                <w:szCs w:val="18"/>
              </w:rPr>
              <w:t>规范区域体</w:t>
            </w:r>
          </w:p>
        </w:tc>
      </w:tr>
      <w:tr w14:paraId="740C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14E1F3E4">
            <w:pPr>
              <w:rPr>
                <w:rFonts w:eastAsiaTheme="minorEastAsia"/>
                <w:bCs/>
                <w:sz w:val="18"/>
                <w:szCs w:val="18"/>
              </w:rPr>
            </w:pPr>
            <w:r>
              <w:rPr>
                <w:rFonts w:eastAsiaTheme="minorEastAsia"/>
                <w:bCs/>
                <w:sz w:val="18"/>
                <w:szCs w:val="18"/>
              </w:rPr>
              <w:t>形状</w:t>
            </w:r>
          </w:p>
        </w:tc>
        <w:tc>
          <w:tcPr>
            <w:tcW w:w="4233" w:type="dxa"/>
          </w:tcPr>
          <w:p w14:paraId="3B562D19">
            <w:pPr>
              <w:rPr>
                <w:rFonts w:eastAsiaTheme="minorEastAsia"/>
                <w:bCs/>
                <w:sz w:val="18"/>
                <w:szCs w:val="18"/>
              </w:rPr>
            </w:pPr>
            <w:r>
              <w:rPr>
                <w:rFonts w:eastAsiaTheme="minorEastAsia"/>
                <w:bCs/>
                <w:sz w:val="18"/>
                <w:szCs w:val="18"/>
              </w:rPr>
              <w:t>球形，椭球形，立方体，其他（指定）</w:t>
            </w:r>
          </w:p>
        </w:tc>
      </w:tr>
      <w:tr w14:paraId="0CC5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2DCF71BF">
            <w:pPr>
              <w:rPr>
                <w:rFonts w:eastAsiaTheme="minorEastAsia"/>
                <w:bCs/>
                <w:sz w:val="18"/>
                <w:szCs w:val="18"/>
              </w:rPr>
            </w:pPr>
            <w:bookmarkStart w:id="55" w:name="_Hlk8395379"/>
            <w:r>
              <w:rPr>
                <w:rFonts w:eastAsiaTheme="minorEastAsia"/>
                <w:bCs/>
                <w:sz w:val="18"/>
                <w:szCs w:val="18"/>
              </w:rPr>
              <w:t>尺寸</w:t>
            </w:r>
          </w:p>
        </w:tc>
        <w:tc>
          <w:tcPr>
            <w:tcW w:w="4233" w:type="dxa"/>
          </w:tcPr>
          <w:p w14:paraId="0A4B7B4A">
            <w:pPr>
              <w:rPr>
                <w:rFonts w:eastAsiaTheme="minorEastAsia"/>
                <w:bCs/>
                <w:sz w:val="18"/>
                <w:szCs w:val="18"/>
              </w:rPr>
            </w:pPr>
            <w:r>
              <w:rPr>
                <w:rFonts w:eastAsiaTheme="minorEastAsia"/>
                <w:bCs/>
                <w:color w:val="000000"/>
                <w:kern w:val="0"/>
                <w:sz w:val="18"/>
                <w:szCs w:val="18"/>
              </w:rPr>
              <w:t>d（x,y,z）, mm</w:t>
            </w:r>
          </w:p>
        </w:tc>
      </w:tr>
      <w:tr w14:paraId="7783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10575E61">
            <w:pPr>
              <w:rPr>
                <w:rFonts w:eastAsiaTheme="minorEastAsia"/>
                <w:bCs/>
                <w:sz w:val="18"/>
                <w:szCs w:val="18"/>
              </w:rPr>
            </w:pPr>
            <w:r>
              <w:rPr>
                <w:rFonts w:eastAsiaTheme="minorEastAsia"/>
                <w:bCs/>
                <w:sz w:val="18"/>
                <w:szCs w:val="18"/>
              </w:rPr>
              <w:t>中心（相对于等中心）</w:t>
            </w:r>
          </w:p>
        </w:tc>
        <w:tc>
          <w:tcPr>
            <w:tcW w:w="4233" w:type="dxa"/>
          </w:tcPr>
          <w:p w14:paraId="02CC6D22">
            <w:pPr>
              <w:rPr>
                <w:rFonts w:eastAsiaTheme="minorEastAsia"/>
                <w:bCs/>
                <w:sz w:val="18"/>
                <w:szCs w:val="18"/>
              </w:rPr>
            </w:pPr>
            <w:r>
              <w:rPr>
                <w:rFonts w:eastAsiaTheme="minorEastAsia"/>
                <w:bCs/>
                <w:color w:val="000000"/>
                <w:kern w:val="0"/>
                <w:sz w:val="18"/>
                <w:szCs w:val="18"/>
              </w:rPr>
              <w:t>(x,y,z), mm</w:t>
            </w:r>
          </w:p>
        </w:tc>
      </w:tr>
      <w:bookmarkEnd w:id="55"/>
      <w:tr w14:paraId="4C8E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06F3A85E">
            <w:pPr>
              <w:jc w:val="center"/>
              <w:rPr>
                <w:rFonts w:eastAsiaTheme="minorEastAsia"/>
                <w:bCs/>
                <w:sz w:val="18"/>
                <w:szCs w:val="18"/>
              </w:rPr>
            </w:pPr>
            <w:r>
              <w:rPr>
                <w:rFonts w:eastAsiaTheme="minorEastAsia"/>
                <w:bCs/>
                <w:sz w:val="18"/>
                <w:szCs w:val="18"/>
              </w:rPr>
              <w:t>规范区域面</w:t>
            </w:r>
          </w:p>
        </w:tc>
      </w:tr>
      <w:tr w14:paraId="6B25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1C12CF90">
            <w:pPr>
              <w:rPr>
                <w:rFonts w:eastAsiaTheme="minorEastAsia"/>
                <w:bCs/>
                <w:sz w:val="18"/>
                <w:szCs w:val="18"/>
              </w:rPr>
            </w:pPr>
            <w:bookmarkStart w:id="56" w:name="_Hlk8395683"/>
            <w:r>
              <w:rPr>
                <w:rFonts w:eastAsiaTheme="minorEastAsia"/>
                <w:bCs/>
                <w:sz w:val="18"/>
                <w:szCs w:val="18"/>
              </w:rPr>
              <w:t>形状</w:t>
            </w:r>
          </w:p>
        </w:tc>
        <w:tc>
          <w:tcPr>
            <w:tcW w:w="4233" w:type="dxa"/>
          </w:tcPr>
          <w:p w14:paraId="18B176BF">
            <w:pPr>
              <w:rPr>
                <w:rFonts w:eastAsiaTheme="minorEastAsia"/>
                <w:bCs/>
                <w:sz w:val="18"/>
                <w:szCs w:val="18"/>
              </w:rPr>
            </w:pPr>
            <w:r>
              <w:rPr>
                <w:rFonts w:eastAsiaTheme="minorEastAsia"/>
                <w:bCs/>
                <w:sz w:val="18"/>
                <w:szCs w:val="18"/>
              </w:rPr>
              <w:t>圆，椭圆，矩形，其他（指定）</w:t>
            </w:r>
          </w:p>
        </w:tc>
      </w:tr>
      <w:bookmarkEnd w:id="56"/>
      <w:tr w14:paraId="79F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0CB0C162">
            <w:pPr>
              <w:rPr>
                <w:rFonts w:eastAsiaTheme="minorEastAsia"/>
                <w:bCs/>
                <w:sz w:val="18"/>
                <w:szCs w:val="18"/>
              </w:rPr>
            </w:pPr>
            <w:r>
              <w:rPr>
                <w:rFonts w:eastAsiaTheme="minorEastAsia"/>
                <w:bCs/>
                <w:sz w:val="18"/>
                <w:szCs w:val="18"/>
              </w:rPr>
              <w:t>尺寸</w:t>
            </w:r>
          </w:p>
        </w:tc>
        <w:tc>
          <w:tcPr>
            <w:tcW w:w="4233" w:type="dxa"/>
          </w:tcPr>
          <w:p w14:paraId="73F786AB">
            <w:pPr>
              <w:rPr>
                <w:rFonts w:eastAsiaTheme="minorEastAsia"/>
                <w:bCs/>
                <w:sz w:val="18"/>
                <w:szCs w:val="18"/>
              </w:rPr>
            </w:pPr>
            <w:r>
              <w:rPr>
                <w:rFonts w:eastAsiaTheme="minorEastAsia"/>
                <w:bCs/>
                <w:color w:val="000000"/>
                <w:kern w:val="0"/>
                <w:sz w:val="18"/>
                <w:szCs w:val="18"/>
              </w:rPr>
              <w:t>d（x,y,z）, mm</w:t>
            </w:r>
          </w:p>
        </w:tc>
      </w:tr>
      <w:tr w14:paraId="7245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77D7471A">
            <w:pPr>
              <w:rPr>
                <w:rFonts w:eastAsiaTheme="minorEastAsia"/>
                <w:bCs/>
                <w:sz w:val="18"/>
                <w:szCs w:val="18"/>
              </w:rPr>
            </w:pPr>
            <w:r>
              <w:rPr>
                <w:rFonts w:eastAsiaTheme="minorEastAsia"/>
                <w:bCs/>
                <w:sz w:val="18"/>
                <w:szCs w:val="18"/>
              </w:rPr>
              <w:t>中心（相对于等中心）</w:t>
            </w:r>
          </w:p>
        </w:tc>
        <w:tc>
          <w:tcPr>
            <w:tcW w:w="4233" w:type="dxa"/>
          </w:tcPr>
          <w:p w14:paraId="18CFADA7">
            <w:pPr>
              <w:rPr>
                <w:rFonts w:eastAsiaTheme="minorEastAsia"/>
                <w:bCs/>
                <w:sz w:val="18"/>
                <w:szCs w:val="18"/>
              </w:rPr>
            </w:pPr>
            <w:r>
              <w:rPr>
                <w:rFonts w:eastAsiaTheme="minorEastAsia"/>
                <w:bCs/>
                <w:color w:val="000000"/>
                <w:kern w:val="0"/>
                <w:sz w:val="18"/>
                <w:szCs w:val="18"/>
              </w:rPr>
              <w:t>(x,y,z), mm</w:t>
            </w:r>
          </w:p>
        </w:tc>
      </w:tr>
      <w:tr w14:paraId="5F69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752D2173">
            <w:pPr>
              <w:jc w:val="center"/>
              <w:rPr>
                <w:rFonts w:eastAsiaTheme="minorEastAsia"/>
                <w:bCs/>
                <w:sz w:val="18"/>
                <w:szCs w:val="18"/>
              </w:rPr>
            </w:pPr>
            <w:r>
              <w:rPr>
                <w:rFonts w:eastAsiaTheme="minorEastAsia"/>
                <w:bCs/>
                <w:sz w:val="18"/>
                <w:szCs w:val="18"/>
              </w:rPr>
              <w:t>发射线圈</w:t>
            </w:r>
          </w:p>
        </w:tc>
      </w:tr>
      <w:tr w14:paraId="67E7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3E6B97B">
            <w:pPr>
              <w:rPr>
                <w:rFonts w:eastAsiaTheme="minorEastAsia"/>
                <w:bCs/>
                <w:sz w:val="18"/>
                <w:szCs w:val="18"/>
              </w:rPr>
            </w:pPr>
            <w:r>
              <w:rPr>
                <w:rFonts w:eastAsiaTheme="minorEastAsia"/>
                <w:bCs/>
                <w:sz w:val="18"/>
                <w:szCs w:val="18"/>
              </w:rPr>
              <w:t>类型</w:t>
            </w:r>
          </w:p>
        </w:tc>
        <w:tc>
          <w:tcPr>
            <w:tcW w:w="4233" w:type="dxa"/>
          </w:tcPr>
          <w:p w14:paraId="25667D73">
            <w:pPr>
              <w:rPr>
                <w:rFonts w:eastAsiaTheme="minorEastAsia"/>
                <w:bCs/>
                <w:sz w:val="18"/>
                <w:szCs w:val="18"/>
              </w:rPr>
            </w:pPr>
          </w:p>
        </w:tc>
      </w:tr>
      <w:tr w14:paraId="62A0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34AC9F32">
            <w:pPr>
              <w:rPr>
                <w:rFonts w:eastAsiaTheme="minorEastAsia"/>
                <w:bCs/>
                <w:sz w:val="18"/>
                <w:szCs w:val="18"/>
              </w:rPr>
            </w:pPr>
            <w:r>
              <w:rPr>
                <w:rFonts w:eastAsiaTheme="minorEastAsia"/>
                <w:bCs/>
                <w:sz w:val="18"/>
                <w:szCs w:val="18"/>
              </w:rPr>
              <w:t>名称</w:t>
            </w:r>
          </w:p>
        </w:tc>
        <w:tc>
          <w:tcPr>
            <w:tcW w:w="4233" w:type="dxa"/>
          </w:tcPr>
          <w:p w14:paraId="5D640F03">
            <w:pPr>
              <w:rPr>
                <w:rFonts w:eastAsiaTheme="minorEastAsia"/>
                <w:bCs/>
                <w:sz w:val="18"/>
                <w:szCs w:val="18"/>
              </w:rPr>
            </w:pPr>
          </w:p>
        </w:tc>
      </w:tr>
      <w:tr w14:paraId="7A05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501A4F27">
            <w:pPr>
              <w:rPr>
                <w:rFonts w:eastAsiaTheme="minorEastAsia"/>
                <w:bCs/>
                <w:sz w:val="18"/>
                <w:szCs w:val="18"/>
              </w:rPr>
            </w:pPr>
            <w:r>
              <w:rPr>
                <w:rFonts w:eastAsiaTheme="minorEastAsia"/>
                <w:bCs/>
                <w:sz w:val="18"/>
                <w:szCs w:val="18"/>
              </w:rPr>
              <w:t>发射通道数</w:t>
            </w:r>
          </w:p>
        </w:tc>
        <w:tc>
          <w:tcPr>
            <w:tcW w:w="4233" w:type="dxa"/>
          </w:tcPr>
          <w:p w14:paraId="1C5B6A2E">
            <w:pPr>
              <w:rPr>
                <w:rFonts w:eastAsiaTheme="minorEastAsia"/>
                <w:bCs/>
                <w:sz w:val="18"/>
                <w:szCs w:val="18"/>
              </w:rPr>
            </w:pPr>
          </w:p>
        </w:tc>
      </w:tr>
      <w:tr w14:paraId="2735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32A1DFE7">
            <w:pPr>
              <w:rPr>
                <w:rFonts w:eastAsiaTheme="minorEastAsia"/>
                <w:bCs/>
                <w:sz w:val="18"/>
                <w:szCs w:val="18"/>
              </w:rPr>
            </w:pPr>
            <w:r>
              <w:rPr>
                <w:rFonts w:eastAsiaTheme="minorEastAsia"/>
                <w:bCs/>
                <w:sz w:val="18"/>
                <w:szCs w:val="18"/>
              </w:rPr>
              <w:t>尺寸</w:t>
            </w:r>
          </w:p>
        </w:tc>
        <w:tc>
          <w:tcPr>
            <w:tcW w:w="4233" w:type="dxa"/>
          </w:tcPr>
          <w:p w14:paraId="071762C9">
            <w:pPr>
              <w:rPr>
                <w:rFonts w:eastAsiaTheme="minorEastAsia"/>
                <w:bCs/>
                <w:sz w:val="18"/>
                <w:szCs w:val="18"/>
              </w:rPr>
            </w:pPr>
            <w:r>
              <w:rPr>
                <w:rFonts w:eastAsiaTheme="minorEastAsia"/>
                <w:bCs/>
                <w:color w:val="000000"/>
                <w:kern w:val="0"/>
                <w:sz w:val="18"/>
                <w:szCs w:val="18"/>
              </w:rPr>
              <w:t>d（x,y,z）, mm</w:t>
            </w:r>
          </w:p>
        </w:tc>
      </w:tr>
      <w:tr w14:paraId="7D16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459ECC2F">
            <w:pPr>
              <w:rPr>
                <w:rFonts w:eastAsiaTheme="minorEastAsia"/>
                <w:bCs/>
                <w:sz w:val="18"/>
                <w:szCs w:val="18"/>
              </w:rPr>
            </w:pPr>
            <w:r>
              <w:rPr>
                <w:rFonts w:eastAsiaTheme="minorEastAsia"/>
                <w:bCs/>
                <w:sz w:val="18"/>
                <w:szCs w:val="18"/>
              </w:rPr>
              <w:t>发射模式</w:t>
            </w:r>
          </w:p>
        </w:tc>
        <w:tc>
          <w:tcPr>
            <w:tcW w:w="4233" w:type="dxa"/>
          </w:tcPr>
          <w:p w14:paraId="780BF080">
            <w:pPr>
              <w:rPr>
                <w:rFonts w:eastAsiaTheme="minorEastAsia"/>
                <w:bCs/>
                <w:color w:val="000000"/>
                <w:kern w:val="0"/>
                <w:sz w:val="18"/>
                <w:szCs w:val="18"/>
              </w:rPr>
            </w:pPr>
            <w:r>
              <w:rPr>
                <w:rFonts w:eastAsiaTheme="minorEastAsia"/>
                <w:bCs/>
                <w:color w:val="000000"/>
                <w:kern w:val="0"/>
                <w:sz w:val="18"/>
                <w:szCs w:val="18"/>
              </w:rPr>
              <w:t>线性，圆极化，其他（指定）</w:t>
            </w:r>
          </w:p>
        </w:tc>
      </w:tr>
      <w:tr w14:paraId="75B8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5E47709E">
            <w:pPr>
              <w:jc w:val="center"/>
              <w:rPr>
                <w:rFonts w:eastAsiaTheme="minorEastAsia"/>
                <w:bCs/>
                <w:color w:val="000000"/>
                <w:kern w:val="0"/>
                <w:sz w:val="18"/>
                <w:szCs w:val="18"/>
              </w:rPr>
            </w:pPr>
            <w:r>
              <w:rPr>
                <w:rFonts w:eastAsiaTheme="minorEastAsia"/>
                <w:bCs/>
                <w:color w:val="000000"/>
                <w:kern w:val="0"/>
                <w:sz w:val="18"/>
                <w:szCs w:val="18"/>
              </w:rPr>
              <w:t>接收线圈</w:t>
            </w:r>
          </w:p>
        </w:tc>
      </w:tr>
      <w:tr w14:paraId="5681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3B703FB0">
            <w:pPr>
              <w:rPr>
                <w:rFonts w:eastAsiaTheme="minorEastAsia"/>
                <w:bCs/>
                <w:sz w:val="18"/>
                <w:szCs w:val="18"/>
              </w:rPr>
            </w:pPr>
            <w:r>
              <w:rPr>
                <w:rFonts w:eastAsiaTheme="minorEastAsia"/>
                <w:bCs/>
                <w:sz w:val="18"/>
                <w:szCs w:val="18"/>
              </w:rPr>
              <w:t>类型</w:t>
            </w:r>
          </w:p>
        </w:tc>
        <w:tc>
          <w:tcPr>
            <w:tcW w:w="4233" w:type="dxa"/>
          </w:tcPr>
          <w:p w14:paraId="5C48235E">
            <w:pPr>
              <w:rPr>
                <w:rFonts w:eastAsiaTheme="minorEastAsia"/>
                <w:bCs/>
                <w:color w:val="000000"/>
                <w:kern w:val="0"/>
                <w:sz w:val="18"/>
                <w:szCs w:val="18"/>
              </w:rPr>
            </w:pPr>
          </w:p>
        </w:tc>
      </w:tr>
      <w:tr w14:paraId="6671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4B5F767F">
            <w:pPr>
              <w:rPr>
                <w:rFonts w:eastAsiaTheme="minorEastAsia"/>
                <w:bCs/>
                <w:sz w:val="18"/>
                <w:szCs w:val="18"/>
              </w:rPr>
            </w:pPr>
            <w:r>
              <w:rPr>
                <w:rFonts w:eastAsiaTheme="minorEastAsia"/>
                <w:bCs/>
                <w:sz w:val="18"/>
                <w:szCs w:val="18"/>
              </w:rPr>
              <w:t>名称</w:t>
            </w:r>
          </w:p>
        </w:tc>
        <w:tc>
          <w:tcPr>
            <w:tcW w:w="4233" w:type="dxa"/>
          </w:tcPr>
          <w:p w14:paraId="2851D555">
            <w:pPr>
              <w:rPr>
                <w:rFonts w:eastAsiaTheme="minorEastAsia"/>
                <w:bCs/>
                <w:color w:val="000000"/>
                <w:kern w:val="0"/>
                <w:sz w:val="18"/>
                <w:szCs w:val="18"/>
              </w:rPr>
            </w:pPr>
          </w:p>
        </w:tc>
      </w:tr>
      <w:tr w14:paraId="3C9F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3AA9BD01">
            <w:pPr>
              <w:rPr>
                <w:rFonts w:eastAsiaTheme="minorEastAsia"/>
                <w:bCs/>
                <w:sz w:val="18"/>
                <w:szCs w:val="18"/>
              </w:rPr>
            </w:pPr>
            <w:r>
              <w:rPr>
                <w:rFonts w:eastAsiaTheme="minorEastAsia"/>
                <w:bCs/>
                <w:sz w:val="18"/>
                <w:szCs w:val="18"/>
              </w:rPr>
              <w:t>接收通道数</w:t>
            </w:r>
          </w:p>
        </w:tc>
        <w:tc>
          <w:tcPr>
            <w:tcW w:w="4233" w:type="dxa"/>
          </w:tcPr>
          <w:p w14:paraId="1CC49546">
            <w:pPr>
              <w:rPr>
                <w:rFonts w:eastAsiaTheme="minorEastAsia"/>
                <w:bCs/>
                <w:color w:val="000000"/>
                <w:kern w:val="0"/>
                <w:sz w:val="18"/>
                <w:szCs w:val="18"/>
              </w:rPr>
            </w:pPr>
          </w:p>
        </w:tc>
      </w:tr>
      <w:tr w14:paraId="7A56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49CAC3C9">
            <w:pPr>
              <w:rPr>
                <w:rFonts w:eastAsiaTheme="minorEastAsia"/>
                <w:bCs/>
                <w:sz w:val="18"/>
                <w:szCs w:val="18"/>
              </w:rPr>
            </w:pPr>
            <w:r>
              <w:rPr>
                <w:rFonts w:eastAsiaTheme="minorEastAsia"/>
                <w:bCs/>
                <w:sz w:val="18"/>
                <w:szCs w:val="18"/>
              </w:rPr>
              <w:t>尺寸</w:t>
            </w:r>
          </w:p>
        </w:tc>
        <w:tc>
          <w:tcPr>
            <w:tcW w:w="4233" w:type="dxa"/>
          </w:tcPr>
          <w:p w14:paraId="02C5D3AF">
            <w:pPr>
              <w:rPr>
                <w:rFonts w:eastAsiaTheme="minorEastAsia"/>
                <w:bCs/>
                <w:color w:val="000000"/>
                <w:kern w:val="0"/>
                <w:sz w:val="18"/>
                <w:szCs w:val="18"/>
              </w:rPr>
            </w:pPr>
            <w:r>
              <w:rPr>
                <w:rFonts w:eastAsiaTheme="minorEastAsia"/>
                <w:bCs/>
                <w:color w:val="000000"/>
                <w:kern w:val="0"/>
                <w:sz w:val="18"/>
                <w:szCs w:val="18"/>
              </w:rPr>
              <w:t>d（x,y,z）, mm</w:t>
            </w:r>
          </w:p>
        </w:tc>
      </w:tr>
      <w:tr w14:paraId="38F6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66C54508">
            <w:pPr>
              <w:jc w:val="center"/>
              <w:rPr>
                <w:rFonts w:eastAsiaTheme="minorEastAsia"/>
                <w:bCs/>
                <w:color w:val="000000"/>
                <w:kern w:val="0"/>
                <w:sz w:val="18"/>
                <w:szCs w:val="18"/>
              </w:rPr>
            </w:pPr>
            <w:r>
              <w:rPr>
                <w:rFonts w:eastAsiaTheme="minorEastAsia"/>
                <w:bCs/>
                <w:color w:val="000000"/>
                <w:kern w:val="0"/>
                <w:sz w:val="18"/>
                <w:szCs w:val="18"/>
              </w:rPr>
              <w:t>测试模具</w:t>
            </w:r>
          </w:p>
        </w:tc>
      </w:tr>
      <w:tr w14:paraId="7445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5974C54B">
            <w:pPr>
              <w:rPr>
                <w:rFonts w:eastAsiaTheme="minorEastAsia"/>
                <w:bCs/>
                <w:sz w:val="18"/>
                <w:szCs w:val="18"/>
              </w:rPr>
            </w:pPr>
            <w:r>
              <w:rPr>
                <w:rFonts w:eastAsiaTheme="minorEastAsia"/>
                <w:bCs/>
                <w:sz w:val="18"/>
                <w:szCs w:val="18"/>
              </w:rPr>
              <w:t>填充物材料描述</w:t>
            </w:r>
          </w:p>
        </w:tc>
        <w:tc>
          <w:tcPr>
            <w:tcW w:w="4233" w:type="dxa"/>
          </w:tcPr>
          <w:p w14:paraId="6FC1AE3A">
            <w:pPr>
              <w:rPr>
                <w:rFonts w:eastAsiaTheme="minorEastAsia"/>
                <w:bCs/>
                <w:color w:val="000000"/>
                <w:kern w:val="0"/>
                <w:sz w:val="18"/>
                <w:szCs w:val="18"/>
              </w:rPr>
            </w:pPr>
          </w:p>
        </w:tc>
      </w:tr>
      <w:tr w14:paraId="055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vAlign w:val="center"/>
          </w:tcPr>
          <w:p w14:paraId="36F1AF2F">
            <w:pPr>
              <w:rPr>
                <w:rFonts w:eastAsiaTheme="minorEastAsia"/>
                <w:bCs/>
                <w:sz w:val="18"/>
                <w:szCs w:val="18"/>
              </w:rPr>
            </w:pPr>
            <w:r>
              <w:rPr>
                <w:rFonts w:eastAsiaTheme="minorEastAsia"/>
                <w:bCs/>
                <w:kern w:val="0"/>
                <w:sz w:val="18"/>
                <w:szCs w:val="18"/>
              </w:rPr>
              <w:t>填充物</w:t>
            </w:r>
            <w:r>
              <w:rPr>
                <w:rFonts w:eastAsiaTheme="minorEastAsia"/>
                <w:bCs/>
                <w:i/>
                <w:iCs/>
                <w:kern w:val="0"/>
                <w:sz w:val="18"/>
                <w:szCs w:val="18"/>
              </w:rPr>
              <w:t>T</w:t>
            </w:r>
            <w:r>
              <w:rPr>
                <w:rFonts w:eastAsiaTheme="minorEastAsia"/>
                <w:bCs/>
                <w:kern w:val="0"/>
                <w:sz w:val="18"/>
                <w:szCs w:val="18"/>
                <w:vertAlign w:val="subscript"/>
              </w:rPr>
              <w:t>1</w:t>
            </w:r>
          </w:p>
        </w:tc>
        <w:tc>
          <w:tcPr>
            <w:tcW w:w="4233" w:type="dxa"/>
            <w:vAlign w:val="center"/>
          </w:tcPr>
          <w:p w14:paraId="70DA64BB">
            <w:pPr>
              <w:rPr>
                <w:rFonts w:eastAsiaTheme="minorEastAsia"/>
                <w:bCs/>
                <w:color w:val="000000"/>
                <w:kern w:val="0"/>
                <w:sz w:val="18"/>
                <w:szCs w:val="18"/>
              </w:rPr>
            </w:pPr>
            <w:r>
              <w:rPr>
                <w:rFonts w:eastAsiaTheme="minorEastAsia"/>
                <w:bCs/>
                <w:kern w:val="0"/>
                <w:sz w:val="18"/>
                <w:szCs w:val="18"/>
              </w:rPr>
              <w:t>ms</w:t>
            </w:r>
          </w:p>
        </w:tc>
      </w:tr>
      <w:tr w14:paraId="46E4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vAlign w:val="center"/>
          </w:tcPr>
          <w:p w14:paraId="7F1091BD">
            <w:pPr>
              <w:rPr>
                <w:rFonts w:eastAsiaTheme="minorEastAsia"/>
                <w:bCs/>
                <w:sz w:val="18"/>
                <w:szCs w:val="18"/>
              </w:rPr>
            </w:pPr>
            <w:r>
              <w:rPr>
                <w:rFonts w:eastAsiaTheme="minorEastAsia"/>
                <w:bCs/>
                <w:kern w:val="0"/>
                <w:sz w:val="18"/>
                <w:szCs w:val="18"/>
              </w:rPr>
              <w:t>填充物</w:t>
            </w:r>
            <w:r>
              <w:rPr>
                <w:rFonts w:eastAsiaTheme="minorEastAsia"/>
                <w:bCs/>
                <w:i/>
                <w:iCs/>
                <w:kern w:val="0"/>
                <w:sz w:val="18"/>
                <w:szCs w:val="18"/>
              </w:rPr>
              <w:t>T</w:t>
            </w:r>
            <w:r>
              <w:rPr>
                <w:rFonts w:eastAsiaTheme="minorEastAsia"/>
                <w:bCs/>
                <w:kern w:val="0"/>
                <w:sz w:val="18"/>
                <w:szCs w:val="18"/>
                <w:vertAlign w:val="subscript"/>
              </w:rPr>
              <w:t>2</w:t>
            </w:r>
          </w:p>
        </w:tc>
        <w:tc>
          <w:tcPr>
            <w:tcW w:w="4233" w:type="dxa"/>
            <w:vAlign w:val="center"/>
          </w:tcPr>
          <w:p w14:paraId="39B3EF01">
            <w:pPr>
              <w:rPr>
                <w:rFonts w:eastAsiaTheme="minorEastAsia"/>
                <w:bCs/>
                <w:color w:val="000000"/>
                <w:kern w:val="0"/>
                <w:sz w:val="18"/>
                <w:szCs w:val="18"/>
              </w:rPr>
            </w:pPr>
            <w:r>
              <w:rPr>
                <w:rFonts w:eastAsiaTheme="minorEastAsia"/>
                <w:bCs/>
                <w:kern w:val="0"/>
                <w:sz w:val="18"/>
                <w:szCs w:val="18"/>
              </w:rPr>
              <w:t>ms</w:t>
            </w:r>
          </w:p>
        </w:tc>
      </w:tr>
      <w:tr w14:paraId="7D95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531448BC">
            <w:pPr>
              <w:rPr>
                <w:rFonts w:eastAsiaTheme="minorEastAsia"/>
                <w:bCs/>
                <w:sz w:val="18"/>
                <w:szCs w:val="18"/>
              </w:rPr>
            </w:pPr>
            <w:bookmarkStart w:id="57" w:name="OLE_LINK8"/>
            <w:bookmarkStart w:id="58" w:name="OLE_LINK9"/>
            <w:r>
              <w:rPr>
                <w:rFonts w:eastAsiaTheme="minorEastAsia"/>
                <w:bCs/>
                <w:sz w:val="18"/>
                <w:szCs w:val="18"/>
              </w:rPr>
              <w:t>填充物盐</w:t>
            </w:r>
            <w:bookmarkEnd w:id="57"/>
            <w:bookmarkEnd w:id="58"/>
            <w:r>
              <w:rPr>
                <w:rFonts w:eastAsiaTheme="minorEastAsia"/>
                <w:bCs/>
                <w:sz w:val="18"/>
                <w:szCs w:val="18"/>
              </w:rPr>
              <w:t>类型</w:t>
            </w:r>
          </w:p>
        </w:tc>
        <w:tc>
          <w:tcPr>
            <w:tcW w:w="4233" w:type="dxa"/>
          </w:tcPr>
          <w:p w14:paraId="4C373913">
            <w:pPr>
              <w:rPr>
                <w:rFonts w:eastAsiaTheme="minorEastAsia"/>
                <w:bCs/>
                <w:color w:val="000000"/>
                <w:kern w:val="0"/>
                <w:sz w:val="18"/>
                <w:szCs w:val="18"/>
              </w:rPr>
            </w:pPr>
            <w:r>
              <w:rPr>
                <w:rFonts w:eastAsiaTheme="minorEastAsia"/>
                <w:bCs/>
                <w:color w:val="000000"/>
                <w:kern w:val="0"/>
                <w:sz w:val="18"/>
                <w:szCs w:val="18"/>
              </w:rPr>
              <w:t>化学物名称</w:t>
            </w:r>
          </w:p>
        </w:tc>
      </w:tr>
      <w:tr w14:paraId="728E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97D0164">
            <w:pPr>
              <w:rPr>
                <w:rFonts w:eastAsiaTheme="minorEastAsia"/>
                <w:bCs/>
                <w:sz w:val="18"/>
                <w:szCs w:val="18"/>
              </w:rPr>
            </w:pPr>
            <w:r>
              <w:rPr>
                <w:rFonts w:eastAsiaTheme="minorEastAsia"/>
                <w:bCs/>
                <w:sz w:val="18"/>
                <w:szCs w:val="18"/>
              </w:rPr>
              <w:t>填充物盐浓度</w:t>
            </w:r>
          </w:p>
        </w:tc>
        <w:tc>
          <w:tcPr>
            <w:tcW w:w="4233" w:type="dxa"/>
          </w:tcPr>
          <w:p w14:paraId="7BAB37F6">
            <w:pPr>
              <w:rPr>
                <w:rFonts w:eastAsiaTheme="minorEastAsia"/>
                <w:bCs/>
                <w:color w:val="000000"/>
                <w:kern w:val="0"/>
                <w:sz w:val="18"/>
                <w:szCs w:val="18"/>
              </w:rPr>
            </w:pPr>
            <w:r>
              <w:rPr>
                <w:rFonts w:eastAsiaTheme="minorEastAsia"/>
                <w:bCs/>
                <w:color w:val="000000"/>
                <w:kern w:val="0"/>
                <w:sz w:val="18"/>
                <w:szCs w:val="18"/>
              </w:rPr>
              <w:t>g/l</w:t>
            </w:r>
          </w:p>
        </w:tc>
      </w:tr>
      <w:tr w14:paraId="005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9B5F1C9">
            <w:pPr>
              <w:rPr>
                <w:rFonts w:eastAsiaTheme="minorEastAsia"/>
                <w:bCs/>
                <w:sz w:val="18"/>
                <w:szCs w:val="18"/>
              </w:rPr>
            </w:pPr>
            <w:r>
              <w:rPr>
                <w:rFonts w:eastAsiaTheme="minorEastAsia"/>
                <w:bCs/>
                <w:sz w:val="18"/>
                <w:szCs w:val="18"/>
              </w:rPr>
              <w:t>截面形状</w:t>
            </w:r>
          </w:p>
        </w:tc>
        <w:tc>
          <w:tcPr>
            <w:tcW w:w="4233" w:type="dxa"/>
          </w:tcPr>
          <w:p w14:paraId="0409A03D">
            <w:pPr>
              <w:rPr>
                <w:rFonts w:eastAsiaTheme="minorEastAsia"/>
                <w:bCs/>
                <w:color w:val="000000"/>
                <w:kern w:val="0"/>
                <w:sz w:val="18"/>
                <w:szCs w:val="18"/>
              </w:rPr>
            </w:pPr>
            <w:r>
              <w:rPr>
                <w:rFonts w:eastAsiaTheme="minorEastAsia"/>
                <w:bCs/>
                <w:sz w:val="18"/>
                <w:szCs w:val="18"/>
              </w:rPr>
              <w:t>圆，椭圆，矩形，其他（指定）</w:t>
            </w:r>
          </w:p>
        </w:tc>
      </w:tr>
      <w:tr w14:paraId="279E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5517AC1F">
            <w:pPr>
              <w:rPr>
                <w:rFonts w:eastAsiaTheme="minorEastAsia"/>
                <w:bCs/>
                <w:sz w:val="18"/>
                <w:szCs w:val="18"/>
              </w:rPr>
            </w:pPr>
            <w:r>
              <w:rPr>
                <w:rFonts w:eastAsiaTheme="minorEastAsia"/>
                <w:bCs/>
                <w:sz w:val="18"/>
                <w:szCs w:val="18"/>
              </w:rPr>
              <w:t>截面面积</w:t>
            </w:r>
          </w:p>
        </w:tc>
        <w:tc>
          <w:tcPr>
            <w:tcW w:w="4233" w:type="dxa"/>
          </w:tcPr>
          <w:p w14:paraId="08330047">
            <w:pPr>
              <w:rPr>
                <w:rFonts w:eastAsiaTheme="minorEastAsia"/>
                <w:bCs/>
                <w:color w:val="000000"/>
                <w:kern w:val="0"/>
                <w:sz w:val="18"/>
                <w:szCs w:val="18"/>
              </w:rPr>
            </w:pPr>
            <w:r>
              <w:rPr>
                <w:rFonts w:eastAsiaTheme="minorEastAsia"/>
                <w:bCs/>
                <w:color w:val="000000"/>
                <w:kern w:val="0"/>
                <w:sz w:val="18"/>
                <w:szCs w:val="18"/>
              </w:rPr>
              <w:t>mm2</w:t>
            </w:r>
          </w:p>
        </w:tc>
      </w:tr>
      <w:tr w14:paraId="77D0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7EC657E9">
            <w:pPr>
              <w:rPr>
                <w:rFonts w:eastAsiaTheme="minorEastAsia"/>
                <w:bCs/>
                <w:sz w:val="18"/>
                <w:szCs w:val="18"/>
              </w:rPr>
            </w:pPr>
            <w:r>
              <w:rPr>
                <w:rFonts w:eastAsiaTheme="minorEastAsia"/>
                <w:bCs/>
                <w:sz w:val="18"/>
                <w:szCs w:val="18"/>
              </w:rPr>
              <w:t>板厚</w:t>
            </w:r>
          </w:p>
        </w:tc>
        <w:tc>
          <w:tcPr>
            <w:tcW w:w="4233" w:type="dxa"/>
          </w:tcPr>
          <w:p w14:paraId="1A277C1C">
            <w:pPr>
              <w:rPr>
                <w:rFonts w:eastAsiaTheme="minorEastAsia"/>
                <w:bCs/>
                <w:color w:val="000000"/>
                <w:kern w:val="0"/>
                <w:sz w:val="18"/>
                <w:szCs w:val="18"/>
              </w:rPr>
            </w:pPr>
            <w:r>
              <w:rPr>
                <w:rFonts w:eastAsiaTheme="minorEastAsia"/>
                <w:bCs/>
                <w:color w:val="000000"/>
                <w:kern w:val="0"/>
                <w:sz w:val="18"/>
                <w:szCs w:val="18"/>
              </w:rPr>
              <w:t>mm</w:t>
            </w:r>
          </w:p>
        </w:tc>
      </w:tr>
      <w:tr w14:paraId="06B1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26D5F357">
            <w:pPr>
              <w:rPr>
                <w:rFonts w:eastAsiaTheme="minorEastAsia"/>
                <w:bCs/>
                <w:sz w:val="18"/>
                <w:szCs w:val="18"/>
              </w:rPr>
            </w:pPr>
            <w:r>
              <w:rPr>
                <w:rFonts w:eastAsiaTheme="minorEastAsia"/>
                <w:bCs/>
                <w:sz w:val="18"/>
                <w:szCs w:val="18"/>
              </w:rPr>
              <w:t>加载类型</w:t>
            </w:r>
          </w:p>
        </w:tc>
        <w:tc>
          <w:tcPr>
            <w:tcW w:w="4233" w:type="dxa"/>
          </w:tcPr>
          <w:p w14:paraId="78E5105E">
            <w:pPr>
              <w:rPr>
                <w:rFonts w:eastAsiaTheme="minorEastAsia"/>
                <w:bCs/>
                <w:color w:val="000000"/>
                <w:kern w:val="0"/>
                <w:sz w:val="18"/>
                <w:szCs w:val="18"/>
              </w:rPr>
            </w:pPr>
            <w:r>
              <w:rPr>
                <w:rFonts w:eastAsiaTheme="minorEastAsia"/>
                <w:bCs/>
                <w:color w:val="000000"/>
                <w:kern w:val="0"/>
                <w:sz w:val="18"/>
                <w:szCs w:val="18"/>
              </w:rPr>
              <w:t>加载/未加载</w:t>
            </w:r>
          </w:p>
        </w:tc>
      </w:tr>
      <w:tr w14:paraId="18A7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6F6F1894">
            <w:pPr>
              <w:rPr>
                <w:rFonts w:eastAsiaTheme="minorEastAsia"/>
                <w:bCs/>
                <w:sz w:val="18"/>
                <w:szCs w:val="18"/>
              </w:rPr>
            </w:pPr>
            <w:r>
              <w:rPr>
                <w:rFonts w:eastAsiaTheme="minorEastAsia"/>
                <w:bCs/>
                <w:sz w:val="18"/>
                <w:szCs w:val="18"/>
              </w:rPr>
              <w:t>尺寸，公差</w:t>
            </w:r>
          </w:p>
        </w:tc>
        <w:tc>
          <w:tcPr>
            <w:tcW w:w="4233" w:type="dxa"/>
          </w:tcPr>
          <w:p w14:paraId="140ED902">
            <w:pPr>
              <w:rPr>
                <w:rFonts w:eastAsiaTheme="minorEastAsia"/>
                <w:bCs/>
                <w:color w:val="000000"/>
                <w:kern w:val="0"/>
                <w:sz w:val="18"/>
                <w:szCs w:val="18"/>
              </w:rPr>
            </w:pPr>
          </w:p>
        </w:tc>
      </w:tr>
      <w:tr w14:paraId="05EB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3"/>
          </w:tcPr>
          <w:p w14:paraId="7BC7653F">
            <w:pPr>
              <w:rPr>
                <w:rFonts w:eastAsiaTheme="minorEastAsia"/>
                <w:bCs/>
                <w:sz w:val="18"/>
                <w:szCs w:val="18"/>
              </w:rPr>
            </w:pPr>
            <w:r>
              <w:rPr>
                <w:rFonts w:eastAsiaTheme="minorEastAsia"/>
                <w:bCs/>
                <w:sz w:val="18"/>
                <w:szCs w:val="18"/>
              </w:rPr>
              <w:t>相对于等中心的相对位置</w:t>
            </w:r>
          </w:p>
        </w:tc>
        <w:tc>
          <w:tcPr>
            <w:tcW w:w="4233" w:type="dxa"/>
          </w:tcPr>
          <w:p w14:paraId="2B841A26">
            <w:pPr>
              <w:rPr>
                <w:rFonts w:eastAsiaTheme="minorEastAsia"/>
                <w:bCs/>
                <w:color w:val="000000"/>
                <w:kern w:val="0"/>
                <w:sz w:val="18"/>
                <w:szCs w:val="18"/>
              </w:rPr>
            </w:pPr>
            <w:r>
              <w:rPr>
                <w:rFonts w:eastAsiaTheme="minorEastAsia"/>
                <w:bCs/>
                <w:color w:val="000000"/>
                <w:kern w:val="0"/>
                <w:sz w:val="18"/>
                <w:szCs w:val="18"/>
              </w:rPr>
              <w:t>(x,y,z), mm  (</w:t>
            </w:r>
            <w:r>
              <w:rPr>
                <w:rFonts w:eastAsiaTheme="minorEastAsia"/>
                <w:bCs/>
                <w:color w:val="000000"/>
                <w:kern w:val="0"/>
                <w:sz w:val="18"/>
                <w:szCs w:val="18"/>
                <w:lang w:val="zh-CN"/>
              </w:rPr>
              <w:t>上下,左右 ，前后</w:t>
            </w:r>
            <w:r>
              <w:rPr>
                <w:rFonts w:eastAsiaTheme="minorEastAsia"/>
                <w:bCs/>
                <w:color w:val="000000"/>
                <w:kern w:val="0"/>
                <w:sz w:val="18"/>
                <w:szCs w:val="18"/>
              </w:rPr>
              <w:t>), 倾斜</w:t>
            </w:r>
          </w:p>
        </w:tc>
      </w:tr>
      <w:tr w14:paraId="1B80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tcPr>
          <w:p w14:paraId="16C8415F">
            <w:pPr>
              <w:jc w:val="center"/>
              <w:rPr>
                <w:rFonts w:eastAsiaTheme="minorEastAsia"/>
                <w:bCs/>
                <w:sz w:val="18"/>
                <w:szCs w:val="18"/>
              </w:rPr>
            </w:pPr>
            <w:r>
              <w:rPr>
                <w:rFonts w:eastAsiaTheme="minorEastAsia"/>
                <w:bCs/>
              </w:rPr>
              <w:t>采集参数</w:t>
            </w:r>
          </w:p>
        </w:tc>
      </w:tr>
      <w:tr w14:paraId="6A40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6C842C9A">
            <w:pPr>
              <w:rPr>
                <w:rFonts w:eastAsiaTheme="minorEastAsia"/>
                <w:bCs/>
                <w:sz w:val="18"/>
                <w:szCs w:val="18"/>
              </w:rPr>
            </w:pPr>
            <w:r>
              <w:rPr>
                <w:rFonts w:eastAsiaTheme="minorEastAsia"/>
                <w:bCs/>
                <w:sz w:val="18"/>
                <w:szCs w:val="18"/>
              </w:rPr>
              <w:t>参数</w:t>
            </w:r>
          </w:p>
        </w:tc>
        <w:tc>
          <w:tcPr>
            <w:tcW w:w="4246" w:type="dxa"/>
            <w:gridSpan w:val="2"/>
          </w:tcPr>
          <w:p w14:paraId="25AFF46D">
            <w:pPr>
              <w:rPr>
                <w:rFonts w:eastAsiaTheme="minorEastAsia"/>
                <w:bCs/>
                <w:sz w:val="18"/>
                <w:szCs w:val="18"/>
              </w:rPr>
            </w:pPr>
            <w:r>
              <w:rPr>
                <w:rFonts w:eastAsiaTheme="minorEastAsia"/>
                <w:bCs/>
                <w:sz w:val="18"/>
                <w:szCs w:val="18"/>
              </w:rPr>
              <w:t>信噪比</w:t>
            </w:r>
          </w:p>
        </w:tc>
      </w:tr>
      <w:tr w14:paraId="0FDE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51951D09">
            <w:pPr>
              <w:rPr>
                <w:rFonts w:eastAsiaTheme="minorEastAsia"/>
                <w:bCs/>
                <w:sz w:val="18"/>
                <w:szCs w:val="18"/>
              </w:rPr>
            </w:pPr>
            <w:r>
              <w:rPr>
                <w:rFonts w:eastAsiaTheme="minorEastAsia"/>
                <w:bCs/>
                <w:sz w:val="18"/>
                <w:szCs w:val="18"/>
              </w:rPr>
              <w:t>患者进入方式</w:t>
            </w:r>
          </w:p>
        </w:tc>
        <w:tc>
          <w:tcPr>
            <w:tcW w:w="4246" w:type="dxa"/>
            <w:gridSpan w:val="2"/>
          </w:tcPr>
          <w:p w14:paraId="5225D165">
            <w:pPr>
              <w:rPr>
                <w:rFonts w:eastAsiaTheme="minorEastAsia"/>
                <w:bCs/>
                <w:sz w:val="18"/>
                <w:szCs w:val="18"/>
              </w:rPr>
            </w:pPr>
            <w:r>
              <w:rPr>
                <w:rFonts w:eastAsiaTheme="minorEastAsia"/>
                <w:bCs/>
                <w:sz w:val="18"/>
                <w:szCs w:val="18"/>
              </w:rPr>
              <w:t>头先进</w:t>
            </w:r>
          </w:p>
        </w:tc>
      </w:tr>
      <w:tr w14:paraId="2781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774A05B6">
            <w:pPr>
              <w:rPr>
                <w:rFonts w:eastAsiaTheme="minorEastAsia"/>
                <w:bCs/>
                <w:sz w:val="18"/>
                <w:szCs w:val="18"/>
              </w:rPr>
            </w:pPr>
            <w:r>
              <w:rPr>
                <w:rFonts w:eastAsiaTheme="minorEastAsia"/>
                <w:bCs/>
                <w:sz w:val="18"/>
                <w:szCs w:val="18"/>
              </w:rPr>
              <w:t>患者体位</w:t>
            </w:r>
          </w:p>
        </w:tc>
        <w:tc>
          <w:tcPr>
            <w:tcW w:w="4246" w:type="dxa"/>
            <w:gridSpan w:val="2"/>
          </w:tcPr>
          <w:p w14:paraId="7B66881F">
            <w:pPr>
              <w:rPr>
                <w:rFonts w:eastAsiaTheme="minorEastAsia"/>
                <w:bCs/>
                <w:sz w:val="18"/>
                <w:szCs w:val="18"/>
              </w:rPr>
            </w:pPr>
            <w:r>
              <w:rPr>
                <w:rFonts w:eastAsiaTheme="minorEastAsia"/>
                <w:bCs/>
                <w:sz w:val="18"/>
                <w:szCs w:val="18"/>
              </w:rPr>
              <w:t>仰卧</w:t>
            </w:r>
          </w:p>
        </w:tc>
      </w:tr>
      <w:tr w14:paraId="7C69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1BAC6E77">
            <w:pPr>
              <w:rPr>
                <w:rFonts w:eastAsiaTheme="minorEastAsia"/>
                <w:bCs/>
                <w:sz w:val="18"/>
                <w:szCs w:val="18"/>
              </w:rPr>
            </w:pPr>
            <w:r>
              <w:rPr>
                <w:rFonts w:eastAsiaTheme="minorEastAsia"/>
                <w:bCs/>
                <w:sz w:val="18"/>
                <w:szCs w:val="18"/>
              </w:rPr>
              <w:t>患者体重</w:t>
            </w:r>
          </w:p>
        </w:tc>
        <w:tc>
          <w:tcPr>
            <w:tcW w:w="4246" w:type="dxa"/>
            <w:gridSpan w:val="2"/>
          </w:tcPr>
          <w:p w14:paraId="182FCA1C">
            <w:pPr>
              <w:rPr>
                <w:rFonts w:eastAsiaTheme="minorEastAsia"/>
                <w:bCs/>
                <w:sz w:val="18"/>
                <w:szCs w:val="18"/>
              </w:rPr>
            </w:pPr>
          </w:p>
        </w:tc>
      </w:tr>
      <w:tr w14:paraId="51A4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6D7E6205">
            <w:pPr>
              <w:rPr>
                <w:rFonts w:eastAsiaTheme="minorEastAsia"/>
                <w:bCs/>
                <w:sz w:val="18"/>
                <w:szCs w:val="18"/>
              </w:rPr>
            </w:pPr>
            <w:r>
              <w:rPr>
                <w:rFonts w:eastAsiaTheme="minorEastAsia"/>
                <w:bCs/>
                <w:sz w:val="18"/>
                <w:szCs w:val="18"/>
              </w:rPr>
              <w:t>成像模式</w:t>
            </w:r>
          </w:p>
        </w:tc>
        <w:tc>
          <w:tcPr>
            <w:tcW w:w="4246" w:type="dxa"/>
            <w:gridSpan w:val="2"/>
          </w:tcPr>
          <w:p w14:paraId="5969F9E1">
            <w:pPr>
              <w:rPr>
                <w:rFonts w:eastAsiaTheme="minorEastAsia"/>
                <w:bCs/>
                <w:sz w:val="18"/>
                <w:szCs w:val="18"/>
              </w:rPr>
            </w:pPr>
            <w:r>
              <w:rPr>
                <w:rFonts w:eastAsiaTheme="minorEastAsia"/>
                <w:bCs/>
                <w:sz w:val="18"/>
                <w:szCs w:val="18"/>
              </w:rPr>
              <w:t>2D</w:t>
            </w:r>
          </w:p>
        </w:tc>
      </w:tr>
      <w:tr w14:paraId="10BE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51" w:type="dxa"/>
            <w:gridSpan w:val="2"/>
          </w:tcPr>
          <w:p w14:paraId="1E43BA6E">
            <w:pPr>
              <w:rPr>
                <w:rFonts w:eastAsiaTheme="minorEastAsia"/>
                <w:bCs/>
                <w:sz w:val="18"/>
                <w:szCs w:val="18"/>
              </w:rPr>
            </w:pPr>
            <w:r>
              <w:rPr>
                <w:rFonts w:eastAsiaTheme="minorEastAsia"/>
                <w:bCs/>
                <w:sz w:val="18"/>
                <w:szCs w:val="18"/>
              </w:rPr>
              <w:t>脉冲序列</w:t>
            </w:r>
          </w:p>
        </w:tc>
        <w:tc>
          <w:tcPr>
            <w:tcW w:w="4246" w:type="dxa"/>
            <w:gridSpan w:val="2"/>
          </w:tcPr>
          <w:p w14:paraId="54530A4C">
            <w:pPr>
              <w:rPr>
                <w:rFonts w:eastAsiaTheme="minorEastAsia"/>
                <w:bCs/>
                <w:sz w:val="18"/>
                <w:szCs w:val="18"/>
              </w:rPr>
            </w:pPr>
            <w:r>
              <w:rPr>
                <w:rFonts w:eastAsiaTheme="minorEastAsia"/>
                <w:bCs/>
                <w:sz w:val="18"/>
                <w:szCs w:val="18"/>
              </w:rPr>
              <w:t>SE</w:t>
            </w:r>
            <w:r>
              <w:rPr>
                <w:rFonts w:hint="eastAsia" w:eastAsiaTheme="minorEastAsia"/>
                <w:bCs/>
                <w:sz w:val="18"/>
                <w:szCs w:val="18"/>
              </w:rPr>
              <w:t>或FSE或典型临床序列</w:t>
            </w:r>
          </w:p>
        </w:tc>
      </w:tr>
      <w:tr w14:paraId="5E8B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065B2745">
            <w:pPr>
              <w:rPr>
                <w:rFonts w:eastAsiaTheme="minorEastAsia"/>
                <w:bCs/>
                <w:sz w:val="18"/>
                <w:szCs w:val="18"/>
              </w:rPr>
            </w:pPr>
            <w:r>
              <w:rPr>
                <w:rFonts w:eastAsiaTheme="minorEastAsia"/>
                <w:bCs/>
                <w:sz w:val="18"/>
                <w:szCs w:val="18"/>
              </w:rPr>
              <w:t>层面</w:t>
            </w:r>
          </w:p>
        </w:tc>
        <w:tc>
          <w:tcPr>
            <w:tcW w:w="4246" w:type="dxa"/>
            <w:gridSpan w:val="2"/>
          </w:tcPr>
          <w:p w14:paraId="426CAF3E">
            <w:pPr>
              <w:rPr>
                <w:rFonts w:eastAsiaTheme="minorEastAsia"/>
                <w:bCs/>
                <w:sz w:val="18"/>
                <w:szCs w:val="18"/>
              </w:rPr>
            </w:pPr>
            <w:r>
              <w:rPr>
                <w:rFonts w:eastAsiaTheme="minorEastAsia"/>
                <w:bCs/>
                <w:sz w:val="18"/>
                <w:szCs w:val="18"/>
              </w:rPr>
              <w:t>横断面、矢状面、冠状面</w:t>
            </w:r>
          </w:p>
        </w:tc>
      </w:tr>
      <w:tr w14:paraId="66F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31B2B4B3">
            <w:pPr>
              <w:rPr>
                <w:rFonts w:eastAsiaTheme="minorEastAsia"/>
                <w:bCs/>
                <w:sz w:val="18"/>
                <w:szCs w:val="18"/>
              </w:rPr>
            </w:pPr>
            <w:r>
              <w:rPr>
                <w:rFonts w:eastAsiaTheme="minorEastAsia"/>
                <w:bCs/>
                <w:sz w:val="18"/>
                <w:szCs w:val="18"/>
              </w:rPr>
              <w:t>频率编码FOV（mm）</w:t>
            </w:r>
          </w:p>
        </w:tc>
        <w:tc>
          <w:tcPr>
            <w:tcW w:w="4246" w:type="dxa"/>
            <w:gridSpan w:val="2"/>
          </w:tcPr>
          <w:p w14:paraId="19B24496">
            <w:pPr>
              <w:rPr>
                <w:rFonts w:eastAsiaTheme="minorEastAsia"/>
                <w:bCs/>
                <w:sz w:val="18"/>
                <w:szCs w:val="18"/>
              </w:rPr>
            </w:pPr>
          </w:p>
        </w:tc>
      </w:tr>
      <w:tr w14:paraId="7EBA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358AB07D">
            <w:pPr>
              <w:rPr>
                <w:rFonts w:eastAsiaTheme="minorEastAsia"/>
                <w:bCs/>
                <w:sz w:val="18"/>
                <w:szCs w:val="18"/>
              </w:rPr>
            </w:pPr>
            <w:r>
              <w:rPr>
                <w:rFonts w:eastAsiaTheme="minorEastAsia"/>
                <w:bCs/>
                <w:sz w:val="18"/>
                <w:szCs w:val="18"/>
              </w:rPr>
              <w:t>相位编码FOV（mm）</w:t>
            </w:r>
          </w:p>
        </w:tc>
        <w:tc>
          <w:tcPr>
            <w:tcW w:w="4246" w:type="dxa"/>
            <w:gridSpan w:val="2"/>
          </w:tcPr>
          <w:p w14:paraId="6428726B">
            <w:pPr>
              <w:rPr>
                <w:rFonts w:eastAsiaTheme="minorEastAsia"/>
                <w:bCs/>
                <w:sz w:val="18"/>
                <w:szCs w:val="18"/>
              </w:rPr>
            </w:pPr>
          </w:p>
        </w:tc>
      </w:tr>
      <w:tr w14:paraId="755D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5079019C">
            <w:pPr>
              <w:rPr>
                <w:rFonts w:eastAsiaTheme="minorEastAsia"/>
                <w:bCs/>
                <w:sz w:val="18"/>
                <w:szCs w:val="18"/>
              </w:rPr>
            </w:pPr>
            <w:r>
              <w:rPr>
                <w:rFonts w:eastAsiaTheme="minorEastAsia"/>
                <w:bCs/>
                <w:sz w:val="18"/>
                <w:szCs w:val="18"/>
              </w:rPr>
              <w:t>片层数</w:t>
            </w:r>
          </w:p>
        </w:tc>
        <w:tc>
          <w:tcPr>
            <w:tcW w:w="4246" w:type="dxa"/>
            <w:gridSpan w:val="2"/>
          </w:tcPr>
          <w:p w14:paraId="1D703992">
            <w:pPr>
              <w:rPr>
                <w:rFonts w:eastAsiaTheme="minorEastAsia"/>
                <w:bCs/>
                <w:sz w:val="18"/>
                <w:szCs w:val="18"/>
              </w:rPr>
            </w:pPr>
            <w:r>
              <w:rPr>
                <w:rFonts w:eastAsiaTheme="minorEastAsia"/>
                <w:bCs/>
                <w:sz w:val="18"/>
                <w:szCs w:val="18"/>
              </w:rPr>
              <w:t>1</w:t>
            </w:r>
          </w:p>
        </w:tc>
      </w:tr>
      <w:tr w14:paraId="6A2A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1B74A99B">
            <w:pPr>
              <w:rPr>
                <w:rFonts w:eastAsiaTheme="minorEastAsia"/>
                <w:bCs/>
                <w:sz w:val="18"/>
                <w:szCs w:val="18"/>
              </w:rPr>
            </w:pPr>
            <w:r>
              <w:rPr>
                <w:rFonts w:eastAsiaTheme="minorEastAsia"/>
                <w:bCs/>
                <w:sz w:val="18"/>
                <w:szCs w:val="18"/>
              </w:rPr>
              <w:t>层厚（mm）</w:t>
            </w:r>
          </w:p>
        </w:tc>
        <w:tc>
          <w:tcPr>
            <w:tcW w:w="4246" w:type="dxa"/>
            <w:gridSpan w:val="2"/>
          </w:tcPr>
          <w:p w14:paraId="12733E51">
            <w:pPr>
              <w:rPr>
                <w:rFonts w:eastAsiaTheme="minorEastAsia"/>
                <w:bCs/>
                <w:sz w:val="18"/>
                <w:szCs w:val="18"/>
              </w:rPr>
            </w:pPr>
            <w:r>
              <w:rPr>
                <w:rFonts w:eastAsiaTheme="minorEastAsia"/>
                <w:bCs/>
                <w:sz w:val="18"/>
                <w:szCs w:val="18"/>
              </w:rPr>
              <w:t>5</w:t>
            </w:r>
          </w:p>
        </w:tc>
      </w:tr>
      <w:tr w14:paraId="54B1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6C4C5ECE">
            <w:pPr>
              <w:rPr>
                <w:rFonts w:eastAsiaTheme="minorEastAsia"/>
                <w:bCs/>
                <w:sz w:val="18"/>
                <w:szCs w:val="18"/>
              </w:rPr>
            </w:pPr>
            <w:r>
              <w:rPr>
                <w:rFonts w:eastAsiaTheme="minorEastAsia"/>
                <w:bCs/>
                <w:sz w:val="18"/>
                <w:szCs w:val="18"/>
              </w:rPr>
              <w:t>中心片层位置</w:t>
            </w:r>
          </w:p>
        </w:tc>
        <w:tc>
          <w:tcPr>
            <w:tcW w:w="4246" w:type="dxa"/>
            <w:gridSpan w:val="2"/>
          </w:tcPr>
          <w:p w14:paraId="0862E329">
            <w:pPr>
              <w:rPr>
                <w:rFonts w:eastAsiaTheme="minorEastAsia"/>
                <w:bCs/>
                <w:sz w:val="18"/>
                <w:szCs w:val="18"/>
              </w:rPr>
            </w:pPr>
            <w:r>
              <w:rPr>
                <w:rFonts w:eastAsiaTheme="minorEastAsia"/>
                <w:bCs/>
                <w:sz w:val="18"/>
                <w:szCs w:val="18"/>
              </w:rPr>
              <w:t>(</w:t>
            </w:r>
            <w:r>
              <w:rPr>
                <w:rFonts w:eastAsiaTheme="minorEastAsia"/>
                <w:bCs/>
                <w:color w:val="000000"/>
                <w:kern w:val="0"/>
                <w:sz w:val="18"/>
                <w:szCs w:val="18"/>
                <w:lang w:val="zh-CN"/>
              </w:rPr>
              <w:t>上下</w:t>
            </w:r>
            <w:r>
              <w:rPr>
                <w:rFonts w:eastAsiaTheme="minorEastAsia"/>
                <w:bCs/>
                <w:color w:val="000000"/>
                <w:kern w:val="0"/>
                <w:sz w:val="18"/>
                <w:szCs w:val="18"/>
              </w:rPr>
              <w:t>,</w:t>
            </w:r>
            <w:r>
              <w:rPr>
                <w:rFonts w:eastAsiaTheme="minorEastAsia"/>
                <w:bCs/>
                <w:color w:val="000000"/>
                <w:kern w:val="0"/>
                <w:sz w:val="18"/>
                <w:szCs w:val="18"/>
                <w:lang w:val="zh-CN"/>
              </w:rPr>
              <w:t>左右</w:t>
            </w:r>
            <w:r>
              <w:rPr>
                <w:rFonts w:eastAsiaTheme="minorEastAsia"/>
                <w:bCs/>
                <w:color w:val="000000"/>
                <w:kern w:val="0"/>
                <w:sz w:val="18"/>
                <w:szCs w:val="18"/>
              </w:rPr>
              <w:t xml:space="preserve"> </w:t>
            </w:r>
            <w:r>
              <w:rPr>
                <w:rFonts w:eastAsiaTheme="minorEastAsia"/>
                <w:bCs/>
                <w:color w:val="000000"/>
                <w:kern w:val="0"/>
                <w:sz w:val="18"/>
                <w:szCs w:val="18"/>
                <w:lang w:val="zh-CN"/>
              </w:rPr>
              <w:t>或前后</w:t>
            </w:r>
            <w:r>
              <w:rPr>
                <w:rFonts w:eastAsiaTheme="minorEastAsia"/>
                <w:bCs/>
                <w:sz w:val="18"/>
                <w:szCs w:val="18"/>
              </w:rPr>
              <w:t>)</w:t>
            </w:r>
            <w:r>
              <w:rPr>
                <w:rFonts w:eastAsiaTheme="minorEastAsia"/>
                <w:bCs/>
                <w:color w:val="000000"/>
                <w:kern w:val="0"/>
                <w:sz w:val="18"/>
                <w:szCs w:val="18"/>
              </w:rPr>
              <w:t xml:space="preserve"> 相对于等中心或者参考位置</w:t>
            </w:r>
            <w:r>
              <w:rPr>
                <w:rFonts w:eastAsiaTheme="minorEastAsia"/>
                <w:bCs/>
                <w:sz w:val="18"/>
                <w:szCs w:val="18"/>
              </w:rPr>
              <w:t>±30mm</w:t>
            </w:r>
          </w:p>
        </w:tc>
      </w:tr>
      <w:tr w14:paraId="29B5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302DAD79">
            <w:pPr>
              <w:rPr>
                <w:rFonts w:eastAsiaTheme="minorEastAsia"/>
                <w:bCs/>
                <w:sz w:val="18"/>
                <w:szCs w:val="18"/>
              </w:rPr>
            </w:pPr>
            <w:r>
              <w:rPr>
                <w:rFonts w:eastAsiaTheme="minorEastAsia"/>
                <w:bCs/>
                <w:sz w:val="18"/>
                <w:szCs w:val="18"/>
              </w:rPr>
              <w:t>FOV中心坐标</w:t>
            </w:r>
          </w:p>
        </w:tc>
        <w:tc>
          <w:tcPr>
            <w:tcW w:w="4246" w:type="dxa"/>
            <w:gridSpan w:val="2"/>
          </w:tcPr>
          <w:p w14:paraId="29A13D32">
            <w:pPr>
              <w:rPr>
                <w:rFonts w:eastAsiaTheme="minorEastAsia"/>
                <w:bCs/>
                <w:sz w:val="18"/>
                <w:szCs w:val="18"/>
              </w:rPr>
            </w:pPr>
            <w:r>
              <w:rPr>
                <w:rFonts w:eastAsiaTheme="minorEastAsia"/>
                <w:bCs/>
                <w:kern w:val="0"/>
                <w:sz w:val="18"/>
                <w:szCs w:val="18"/>
              </w:rPr>
              <w:t>mm (</w:t>
            </w:r>
            <w:r>
              <w:rPr>
                <w:rFonts w:eastAsiaTheme="minorEastAsia"/>
                <w:bCs/>
                <w:color w:val="000000"/>
                <w:kern w:val="0"/>
                <w:sz w:val="18"/>
                <w:szCs w:val="18"/>
                <w:lang w:val="zh-CN"/>
              </w:rPr>
              <w:t>上下,左右或前后</w:t>
            </w:r>
            <w:r>
              <w:rPr>
                <w:rFonts w:eastAsiaTheme="minorEastAsia"/>
                <w:bCs/>
                <w:kern w:val="0"/>
                <w:sz w:val="18"/>
                <w:szCs w:val="18"/>
              </w:rPr>
              <w:t>)</w:t>
            </w:r>
          </w:p>
        </w:tc>
      </w:tr>
      <w:tr w14:paraId="5B13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2F6B5FD8">
            <w:pPr>
              <w:rPr>
                <w:rFonts w:eastAsiaTheme="minorEastAsia"/>
                <w:bCs/>
                <w:sz w:val="18"/>
                <w:szCs w:val="18"/>
              </w:rPr>
            </w:pPr>
            <w:r>
              <w:rPr>
                <w:rFonts w:eastAsiaTheme="minorEastAsia"/>
                <w:bCs/>
                <w:sz w:val="18"/>
                <w:szCs w:val="18"/>
              </w:rPr>
              <w:t>相位编码方向</w:t>
            </w:r>
          </w:p>
        </w:tc>
        <w:tc>
          <w:tcPr>
            <w:tcW w:w="4246" w:type="dxa"/>
            <w:gridSpan w:val="2"/>
          </w:tcPr>
          <w:p w14:paraId="0FA8D582">
            <w:pPr>
              <w:rPr>
                <w:rFonts w:eastAsiaTheme="minorEastAsia"/>
                <w:bCs/>
                <w:sz w:val="18"/>
                <w:szCs w:val="18"/>
              </w:rPr>
            </w:pPr>
            <w:r>
              <w:rPr>
                <w:rFonts w:eastAsiaTheme="minorEastAsia"/>
                <w:bCs/>
                <w:color w:val="000000"/>
                <w:kern w:val="0"/>
                <w:sz w:val="18"/>
                <w:szCs w:val="18"/>
                <w:lang w:val="zh-CN"/>
              </w:rPr>
              <w:t>上下,左右，前后</w:t>
            </w:r>
          </w:p>
        </w:tc>
      </w:tr>
      <w:tr w14:paraId="4645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18969CE7">
            <w:pPr>
              <w:rPr>
                <w:rFonts w:eastAsiaTheme="minorEastAsia"/>
                <w:bCs/>
                <w:sz w:val="18"/>
                <w:szCs w:val="18"/>
              </w:rPr>
            </w:pPr>
            <w:r>
              <w:rPr>
                <w:rFonts w:eastAsiaTheme="minorEastAsia"/>
                <w:bCs/>
                <w:sz w:val="18"/>
                <w:szCs w:val="18"/>
              </w:rPr>
              <w:t>TR（ms）</w:t>
            </w:r>
          </w:p>
        </w:tc>
        <w:tc>
          <w:tcPr>
            <w:tcW w:w="4246" w:type="dxa"/>
            <w:gridSpan w:val="2"/>
          </w:tcPr>
          <w:p w14:paraId="64DE7BF0">
            <w:pPr>
              <w:rPr>
                <w:rFonts w:eastAsiaTheme="minorEastAsia"/>
                <w:bCs/>
                <w:sz w:val="18"/>
                <w:szCs w:val="18"/>
              </w:rPr>
            </w:pPr>
            <w:r>
              <w:rPr>
                <w:rFonts w:eastAsiaTheme="minorEastAsia"/>
                <w:bCs/>
                <w:color w:val="000000"/>
                <w:kern w:val="0"/>
                <w:sz w:val="18"/>
                <w:szCs w:val="18"/>
              </w:rPr>
              <w:t>&gt;3*T</w:t>
            </w:r>
            <w:r>
              <w:rPr>
                <w:rFonts w:eastAsiaTheme="minorEastAsia"/>
                <w:bCs/>
                <w:color w:val="000000"/>
                <w:kern w:val="0"/>
                <w:sz w:val="18"/>
                <w:szCs w:val="18"/>
                <w:vertAlign w:val="subscript"/>
              </w:rPr>
              <w:t>1</w:t>
            </w:r>
          </w:p>
        </w:tc>
      </w:tr>
      <w:tr w14:paraId="5375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77F088CD">
            <w:pPr>
              <w:rPr>
                <w:rFonts w:eastAsiaTheme="minorEastAsia"/>
                <w:bCs/>
                <w:sz w:val="18"/>
                <w:szCs w:val="18"/>
              </w:rPr>
            </w:pPr>
            <w:r>
              <w:rPr>
                <w:rFonts w:eastAsiaTheme="minorEastAsia"/>
                <w:bCs/>
                <w:sz w:val="18"/>
                <w:szCs w:val="18"/>
              </w:rPr>
              <w:t>TE（ms）</w:t>
            </w:r>
          </w:p>
        </w:tc>
        <w:tc>
          <w:tcPr>
            <w:tcW w:w="4246" w:type="dxa"/>
            <w:gridSpan w:val="2"/>
          </w:tcPr>
          <w:p w14:paraId="2D7097A1">
            <w:pPr>
              <w:rPr>
                <w:rFonts w:eastAsiaTheme="minorEastAsia"/>
                <w:bCs/>
                <w:sz w:val="18"/>
                <w:szCs w:val="18"/>
              </w:rPr>
            </w:pPr>
            <w:r>
              <w:rPr>
                <w:rFonts w:eastAsiaTheme="minorEastAsia"/>
                <w:bCs/>
                <w:color w:val="000000"/>
                <w:kern w:val="0"/>
                <w:sz w:val="18"/>
                <w:szCs w:val="18"/>
              </w:rPr>
              <w:t>30 或者&lt;T</w:t>
            </w:r>
            <w:r>
              <w:rPr>
                <w:rFonts w:eastAsiaTheme="minorEastAsia"/>
                <w:bCs/>
                <w:color w:val="000000"/>
                <w:kern w:val="0"/>
                <w:sz w:val="18"/>
                <w:szCs w:val="18"/>
                <w:vertAlign w:val="subscript"/>
              </w:rPr>
              <w:t>2</w:t>
            </w:r>
            <w:r>
              <w:rPr>
                <w:rFonts w:eastAsiaTheme="minorEastAsia"/>
                <w:bCs/>
                <w:color w:val="000000"/>
                <w:kern w:val="0"/>
                <w:sz w:val="18"/>
                <w:szCs w:val="18"/>
              </w:rPr>
              <w:t>/3</w:t>
            </w:r>
          </w:p>
        </w:tc>
      </w:tr>
      <w:tr w14:paraId="7DE0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251" w:type="dxa"/>
            <w:gridSpan w:val="2"/>
          </w:tcPr>
          <w:p w14:paraId="6B0163A0">
            <w:pPr>
              <w:rPr>
                <w:rFonts w:eastAsiaTheme="minorEastAsia"/>
                <w:bCs/>
                <w:sz w:val="18"/>
                <w:szCs w:val="18"/>
              </w:rPr>
            </w:pPr>
            <w:r>
              <w:rPr>
                <w:rFonts w:eastAsiaTheme="minorEastAsia"/>
                <w:bCs/>
                <w:sz w:val="18"/>
                <w:szCs w:val="18"/>
              </w:rPr>
              <w:t>回波数</w:t>
            </w:r>
          </w:p>
        </w:tc>
        <w:tc>
          <w:tcPr>
            <w:tcW w:w="4246" w:type="dxa"/>
            <w:gridSpan w:val="2"/>
          </w:tcPr>
          <w:p w14:paraId="58317EF5">
            <w:pPr>
              <w:rPr>
                <w:rFonts w:eastAsiaTheme="minorEastAsia"/>
                <w:bCs/>
                <w:sz w:val="18"/>
                <w:szCs w:val="18"/>
              </w:rPr>
            </w:pPr>
            <w:r>
              <w:rPr>
                <w:rFonts w:eastAsiaTheme="minorEastAsia"/>
                <w:bCs/>
                <w:sz w:val="18"/>
                <w:szCs w:val="18"/>
              </w:rPr>
              <w:t>1</w:t>
            </w:r>
          </w:p>
        </w:tc>
      </w:tr>
      <w:tr w14:paraId="158F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4C2512CD">
            <w:pPr>
              <w:rPr>
                <w:rFonts w:eastAsiaTheme="minorEastAsia"/>
                <w:bCs/>
                <w:sz w:val="18"/>
                <w:szCs w:val="18"/>
              </w:rPr>
            </w:pPr>
            <w:r>
              <w:rPr>
                <w:rFonts w:eastAsiaTheme="minorEastAsia"/>
                <w:bCs/>
                <w:sz w:val="18"/>
                <w:szCs w:val="18"/>
              </w:rPr>
              <w:t>采集矩阵（频率编码）</w:t>
            </w:r>
          </w:p>
        </w:tc>
        <w:tc>
          <w:tcPr>
            <w:tcW w:w="4246" w:type="dxa"/>
            <w:gridSpan w:val="2"/>
          </w:tcPr>
          <w:p w14:paraId="071D9951">
            <w:pPr>
              <w:rPr>
                <w:rFonts w:eastAsiaTheme="minorEastAsia"/>
                <w:bCs/>
                <w:sz w:val="18"/>
                <w:szCs w:val="18"/>
              </w:rPr>
            </w:pPr>
            <w:r>
              <w:rPr>
                <w:rFonts w:eastAsiaTheme="minorEastAsia"/>
                <w:bCs/>
                <w:sz w:val="18"/>
                <w:szCs w:val="18"/>
              </w:rPr>
              <w:t>256</w:t>
            </w:r>
          </w:p>
        </w:tc>
      </w:tr>
      <w:tr w14:paraId="7702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390EBB65">
            <w:pPr>
              <w:rPr>
                <w:rFonts w:eastAsiaTheme="minorEastAsia"/>
                <w:bCs/>
                <w:sz w:val="18"/>
                <w:szCs w:val="18"/>
              </w:rPr>
            </w:pPr>
            <w:r>
              <w:rPr>
                <w:rFonts w:eastAsiaTheme="minorEastAsia"/>
                <w:bCs/>
                <w:sz w:val="18"/>
                <w:szCs w:val="18"/>
              </w:rPr>
              <w:t>采集矩阵（相位编码）</w:t>
            </w:r>
          </w:p>
        </w:tc>
        <w:tc>
          <w:tcPr>
            <w:tcW w:w="4246" w:type="dxa"/>
            <w:gridSpan w:val="2"/>
          </w:tcPr>
          <w:p w14:paraId="4B28CB0A">
            <w:pPr>
              <w:rPr>
                <w:rFonts w:eastAsiaTheme="minorEastAsia"/>
                <w:bCs/>
                <w:sz w:val="18"/>
                <w:szCs w:val="18"/>
              </w:rPr>
            </w:pPr>
            <w:r>
              <w:rPr>
                <w:rFonts w:eastAsiaTheme="minorEastAsia"/>
                <w:bCs/>
                <w:sz w:val="18"/>
                <w:szCs w:val="18"/>
              </w:rPr>
              <w:t>256</w:t>
            </w:r>
          </w:p>
        </w:tc>
      </w:tr>
      <w:tr w14:paraId="7EF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24D69E20">
            <w:pPr>
              <w:rPr>
                <w:rFonts w:eastAsiaTheme="minorEastAsia"/>
                <w:bCs/>
                <w:sz w:val="18"/>
                <w:szCs w:val="18"/>
              </w:rPr>
            </w:pPr>
            <w:r>
              <w:rPr>
                <w:rFonts w:eastAsiaTheme="minorEastAsia"/>
                <w:bCs/>
                <w:sz w:val="18"/>
                <w:szCs w:val="18"/>
              </w:rPr>
              <w:t>平均次数</w:t>
            </w:r>
          </w:p>
        </w:tc>
        <w:tc>
          <w:tcPr>
            <w:tcW w:w="4246" w:type="dxa"/>
            <w:gridSpan w:val="2"/>
          </w:tcPr>
          <w:p w14:paraId="4C7350D7">
            <w:pPr>
              <w:rPr>
                <w:rFonts w:eastAsiaTheme="minorEastAsia"/>
                <w:bCs/>
                <w:sz w:val="18"/>
                <w:szCs w:val="18"/>
              </w:rPr>
            </w:pPr>
            <w:r>
              <w:rPr>
                <w:rFonts w:eastAsiaTheme="minorEastAsia"/>
                <w:bCs/>
                <w:sz w:val="18"/>
                <w:szCs w:val="18"/>
              </w:rPr>
              <w:t>1</w:t>
            </w:r>
            <w:r>
              <w:rPr>
                <w:rFonts w:hint="eastAsia" w:eastAsiaTheme="minorEastAsia"/>
                <w:bCs/>
                <w:sz w:val="18"/>
                <w:szCs w:val="18"/>
              </w:rPr>
              <w:t>或其他典型临床平均次数</w:t>
            </w:r>
          </w:p>
        </w:tc>
      </w:tr>
      <w:tr w14:paraId="134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01B0699C">
            <w:pPr>
              <w:rPr>
                <w:rFonts w:eastAsiaTheme="minorEastAsia"/>
                <w:bCs/>
                <w:sz w:val="18"/>
                <w:szCs w:val="18"/>
              </w:rPr>
            </w:pPr>
            <w:r>
              <w:rPr>
                <w:rFonts w:eastAsiaTheme="minorEastAsia"/>
                <w:bCs/>
                <w:sz w:val="18"/>
                <w:szCs w:val="18"/>
              </w:rPr>
              <w:t>像素带宽（</w:t>
            </w:r>
            <w:r>
              <w:rPr>
                <w:rFonts w:eastAsiaTheme="minorEastAsia"/>
                <w:bCs/>
                <w:kern w:val="0"/>
                <w:sz w:val="18"/>
                <w:szCs w:val="18"/>
              </w:rPr>
              <w:t>Hz/像素</w:t>
            </w:r>
            <w:r>
              <w:rPr>
                <w:rFonts w:eastAsiaTheme="minorEastAsia"/>
                <w:bCs/>
                <w:sz w:val="18"/>
                <w:szCs w:val="18"/>
              </w:rPr>
              <w:t>）</w:t>
            </w:r>
          </w:p>
        </w:tc>
        <w:tc>
          <w:tcPr>
            <w:tcW w:w="4246" w:type="dxa"/>
            <w:gridSpan w:val="2"/>
          </w:tcPr>
          <w:p w14:paraId="3ACE313D">
            <w:pPr>
              <w:rPr>
                <w:rFonts w:eastAsiaTheme="minorEastAsia"/>
                <w:bCs/>
                <w:sz w:val="18"/>
                <w:szCs w:val="18"/>
              </w:rPr>
            </w:pPr>
            <w:r>
              <w:rPr>
                <w:rFonts w:eastAsiaTheme="minorEastAsia"/>
                <w:bCs/>
                <w:sz w:val="18"/>
                <w:szCs w:val="18"/>
              </w:rPr>
              <w:t>临床典型</w:t>
            </w:r>
          </w:p>
        </w:tc>
      </w:tr>
      <w:tr w14:paraId="55C1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6A693ABE">
            <w:pPr>
              <w:rPr>
                <w:rFonts w:eastAsiaTheme="minorEastAsia"/>
                <w:bCs/>
                <w:sz w:val="18"/>
                <w:szCs w:val="18"/>
              </w:rPr>
            </w:pPr>
            <w:r>
              <w:rPr>
                <w:rFonts w:eastAsiaTheme="minorEastAsia"/>
                <w:bCs/>
                <w:sz w:val="18"/>
                <w:szCs w:val="18"/>
              </w:rPr>
              <w:t>相位过采样因子</w:t>
            </w:r>
          </w:p>
          <w:p w14:paraId="285A0CFF">
            <w:pPr>
              <w:rPr>
                <w:rFonts w:eastAsiaTheme="minorEastAsia"/>
                <w:bCs/>
                <w:sz w:val="18"/>
                <w:szCs w:val="18"/>
              </w:rPr>
            </w:pPr>
            <w:r>
              <w:rPr>
                <w:rFonts w:eastAsiaTheme="minorEastAsia"/>
                <w:bCs/>
                <w:sz w:val="18"/>
                <w:szCs w:val="18"/>
              </w:rPr>
              <w:t>（1=无过采样）</w:t>
            </w:r>
          </w:p>
        </w:tc>
        <w:tc>
          <w:tcPr>
            <w:tcW w:w="4246" w:type="dxa"/>
            <w:gridSpan w:val="2"/>
          </w:tcPr>
          <w:p w14:paraId="2BCF9632">
            <w:pPr>
              <w:rPr>
                <w:rFonts w:eastAsiaTheme="minorEastAsia"/>
                <w:bCs/>
                <w:sz w:val="18"/>
                <w:szCs w:val="18"/>
              </w:rPr>
            </w:pPr>
            <w:r>
              <w:rPr>
                <w:rFonts w:eastAsiaTheme="minorEastAsia"/>
                <w:bCs/>
                <w:sz w:val="18"/>
                <w:szCs w:val="18"/>
              </w:rPr>
              <w:t>1</w:t>
            </w:r>
          </w:p>
        </w:tc>
      </w:tr>
      <w:tr w14:paraId="7A7C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06B7A77F">
            <w:pPr>
              <w:rPr>
                <w:rFonts w:eastAsiaTheme="minorEastAsia"/>
                <w:bCs/>
                <w:sz w:val="18"/>
                <w:szCs w:val="18"/>
              </w:rPr>
            </w:pPr>
            <w:r>
              <w:rPr>
                <w:rFonts w:eastAsiaTheme="minorEastAsia"/>
                <w:bCs/>
                <w:sz w:val="18"/>
                <w:szCs w:val="18"/>
              </w:rPr>
              <w:t>几何畸变校正</w:t>
            </w:r>
          </w:p>
        </w:tc>
        <w:tc>
          <w:tcPr>
            <w:tcW w:w="4246" w:type="dxa"/>
            <w:gridSpan w:val="2"/>
          </w:tcPr>
          <w:p w14:paraId="23BBE640">
            <w:pPr>
              <w:rPr>
                <w:rFonts w:eastAsiaTheme="minorEastAsia"/>
                <w:bCs/>
                <w:sz w:val="18"/>
                <w:szCs w:val="18"/>
              </w:rPr>
            </w:pPr>
            <w:r>
              <w:rPr>
                <w:rFonts w:eastAsiaTheme="minorEastAsia"/>
                <w:bCs/>
                <w:color w:val="000000"/>
                <w:kern w:val="0"/>
                <w:sz w:val="18"/>
                <w:szCs w:val="18"/>
              </w:rPr>
              <w:t>若适用，On/off, 类型(2D,3D)</w:t>
            </w:r>
          </w:p>
        </w:tc>
      </w:tr>
      <w:tr w14:paraId="042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22B88790">
            <w:pPr>
              <w:rPr>
                <w:rFonts w:eastAsiaTheme="minorEastAsia"/>
                <w:bCs/>
                <w:sz w:val="18"/>
                <w:szCs w:val="18"/>
              </w:rPr>
            </w:pPr>
            <w:r>
              <w:rPr>
                <w:rFonts w:eastAsiaTheme="minorEastAsia"/>
                <w:bCs/>
                <w:sz w:val="18"/>
                <w:szCs w:val="18"/>
              </w:rPr>
              <w:t>平滑/边缘增强</w:t>
            </w:r>
          </w:p>
        </w:tc>
        <w:tc>
          <w:tcPr>
            <w:tcW w:w="4246" w:type="dxa"/>
            <w:gridSpan w:val="2"/>
          </w:tcPr>
          <w:p w14:paraId="481FB9BD">
            <w:pPr>
              <w:rPr>
                <w:rFonts w:eastAsiaTheme="minorEastAsia"/>
                <w:bCs/>
                <w:sz w:val="18"/>
                <w:szCs w:val="18"/>
              </w:rPr>
            </w:pPr>
            <w:r>
              <w:rPr>
                <w:rFonts w:eastAsiaTheme="minorEastAsia"/>
                <w:bCs/>
                <w:color w:val="000000"/>
                <w:kern w:val="0"/>
                <w:sz w:val="18"/>
                <w:szCs w:val="18"/>
              </w:rPr>
              <w:t>若适用，标识: on, off</w:t>
            </w:r>
          </w:p>
        </w:tc>
      </w:tr>
      <w:tr w14:paraId="63E2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2B02E730">
            <w:pPr>
              <w:rPr>
                <w:rFonts w:eastAsiaTheme="minorEastAsia"/>
                <w:bCs/>
                <w:sz w:val="18"/>
                <w:szCs w:val="18"/>
              </w:rPr>
            </w:pPr>
            <w:r>
              <w:rPr>
                <w:rFonts w:eastAsiaTheme="minorEastAsia"/>
                <w:bCs/>
                <w:sz w:val="18"/>
                <w:szCs w:val="18"/>
              </w:rPr>
              <w:t>均匀性/阴影校正</w:t>
            </w:r>
          </w:p>
        </w:tc>
        <w:tc>
          <w:tcPr>
            <w:tcW w:w="4246" w:type="dxa"/>
            <w:gridSpan w:val="2"/>
          </w:tcPr>
          <w:p w14:paraId="2C416592">
            <w:pPr>
              <w:rPr>
                <w:rFonts w:eastAsiaTheme="minorEastAsia"/>
                <w:bCs/>
                <w:sz w:val="18"/>
                <w:szCs w:val="18"/>
              </w:rPr>
            </w:pPr>
            <w:r>
              <w:rPr>
                <w:rFonts w:eastAsiaTheme="minorEastAsia"/>
                <w:bCs/>
                <w:color w:val="000000"/>
                <w:kern w:val="0"/>
                <w:sz w:val="18"/>
                <w:szCs w:val="18"/>
              </w:rPr>
              <w:t>若适用，标识: on, off</w:t>
            </w:r>
          </w:p>
        </w:tc>
      </w:tr>
      <w:tr w14:paraId="270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2"/>
          </w:tcPr>
          <w:p w14:paraId="0079A69B">
            <w:pPr>
              <w:rPr>
                <w:rFonts w:eastAsiaTheme="minorEastAsia"/>
                <w:bCs/>
                <w:sz w:val="18"/>
                <w:szCs w:val="18"/>
              </w:rPr>
            </w:pPr>
            <w:r>
              <w:rPr>
                <w:rFonts w:eastAsiaTheme="minorEastAsia"/>
                <w:bCs/>
                <w:sz w:val="18"/>
                <w:szCs w:val="18"/>
              </w:rPr>
              <w:t>附加滤波</w:t>
            </w:r>
          </w:p>
        </w:tc>
        <w:tc>
          <w:tcPr>
            <w:tcW w:w="4246" w:type="dxa"/>
            <w:gridSpan w:val="2"/>
          </w:tcPr>
          <w:p w14:paraId="528081D5">
            <w:pPr>
              <w:rPr>
                <w:rFonts w:eastAsiaTheme="minorEastAsia"/>
                <w:bCs/>
                <w:sz w:val="18"/>
                <w:szCs w:val="18"/>
              </w:rPr>
            </w:pPr>
            <w:r>
              <w:rPr>
                <w:rFonts w:eastAsiaTheme="minorEastAsia"/>
                <w:bCs/>
                <w:color w:val="000000"/>
                <w:kern w:val="0"/>
                <w:sz w:val="18"/>
                <w:szCs w:val="18"/>
              </w:rPr>
              <w:t>若适用，标识: on, off</w:t>
            </w:r>
          </w:p>
        </w:tc>
      </w:tr>
      <w:tr w14:paraId="2305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7" w:type="dxa"/>
            <w:gridSpan w:val="4"/>
            <w:vAlign w:val="center"/>
          </w:tcPr>
          <w:p w14:paraId="46ED91F7">
            <w:pPr>
              <w:autoSpaceDE w:val="0"/>
              <w:autoSpaceDN w:val="0"/>
              <w:adjustRightInd w:val="0"/>
              <w:jc w:val="center"/>
              <w:rPr>
                <w:rFonts w:eastAsiaTheme="minorEastAsia"/>
                <w:bCs/>
                <w:kern w:val="0"/>
                <w:sz w:val="18"/>
                <w:szCs w:val="18"/>
              </w:rPr>
            </w:pPr>
            <w:r>
              <w:rPr>
                <w:rFonts w:eastAsiaTheme="minorEastAsia"/>
                <w:bCs/>
                <w:kern w:val="0"/>
                <w:sz w:val="18"/>
                <w:szCs w:val="18"/>
              </w:rPr>
              <w:t>SNR结果报告</w:t>
            </w:r>
          </w:p>
        </w:tc>
      </w:tr>
      <w:tr w14:paraId="16A3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6B4530B7">
            <w:pPr>
              <w:autoSpaceDE w:val="0"/>
              <w:autoSpaceDN w:val="0"/>
              <w:adjustRightInd w:val="0"/>
              <w:ind w:firstLine="540" w:firstLineChars="300"/>
              <w:jc w:val="center"/>
              <w:rPr>
                <w:rFonts w:eastAsiaTheme="minorEastAsia"/>
                <w:bCs/>
                <w:kern w:val="0"/>
                <w:sz w:val="18"/>
                <w:szCs w:val="18"/>
              </w:rPr>
            </w:pPr>
            <w:r>
              <w:rPr>
                <w:rFonts w:eastAsiaTheme="minorEastAsia"/>
                <w:bCs/>
                <w:kern w:val="0"/>
                <w:sz w:val="18"/>
                <w:szCs w:val="18"/>
              </w:rPr>
              <w:t>参数</w:t>
            </w:r>
          </w:p>
        </w:tc>
        <w:tc>
          <w:tcPr>
            <w:tcW w:w="4255" w:type="dxa"/>
            <w:gridSpan w:val="3"/>
            <w:vAlign w:val="center"/>
          </w:tcPr>
          <w:p w14:paraId="586ADCC2">
            <w:pPr>
              <w:autoSpaceDE w:val="0"/>
              <w:autoSpaceDN w:val="0"/>
              <w:adjustRightInd w:val="0"/>
              <w:jc w:val="center"/>
              <w:rPr>
                <w:rFonts w:eastAsiaTheme="minorEastAsia"/>
                <w:bCs/>
                <w:kern w:val="0"/>
                <w:sz w:val="18"/>
                <w:szCs w:val="18"/>
              </w:rPr>
            </w:pPr>
            <w:r>
              <w:rPr>
                <w:rFonts w:eastAsiaTheme="minorEastAsia"/>
                <w:bCs/>
                <w:kern w:val="0"/>
                <w:sz w:val="18"/>
                <w:szCs w:val="18"/>
              </w:rPr>
              <w:t>值/单位</w:t>
            </w:r>
          </w:p>
        </w:tc>
      </w:tr>
      <w:tr w14:paraId="2A5D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26806F2B">
            <w:pPr>
              <w:autoSpaceDE w:val="0"/>
              <w:autoSpaceDN w:val="0"/>
              <w:adjustRightInd w:val="0"/>
              <w:rPr>
                <w:rFonts w:eastAsiaTheme="minorEastAsia"/>
                <w:bCs/>
                <w:kern w:val="0"/>
                <w:sz w:val="18"/>
                <w:szCs w:val="18"/>
              </w:rPr>
            </w:pPr>
            <w:r>
              <w:rPr>
                <w:rFonts w:eastAsiaTheme="minorEastAsia"/>
                <w:bCs/>
                <w:kern w:val="0"/>
                <w:sz w:val="18"/>
                <w:szCs w:val="18"/>
              </w:rPr>
              <w:t>扫描剖面方向</w:t>
            </w:r>
          </w:p>
        </w:tc>
        <w:tc>
          <w:tcPr>
            <w:tcW w:w="4255" w:type="dxa"/>
            <w:gridSpan w:val="3"/>
            <w:vAlign w:val="center"/>
          </w:tcPr>
          <w:p w14:paraId="28359339">
            <w:pPr>
              <w:autoSpaceDE w:val="0"/>
              <w:autoSpaceDN w:val="0"/>
              <w:adjustRightInd w:val="0"/>
              <w:jc w:val="center"/>
              <w:rPr>
                <w:rFonts w:eastAsiaTheme="minorEastAsia"/>
                <w:bCs/>
                <w:kern w:val="0"/>
                <w:sz w:val="18"/>
                <w:szCs w:val="18"/>
              </w:rPr>
            </w:pPr>
          </w:p>
        </w:tc>
      </w:tr>
      <w:tr w14:paraId="3E5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68B309EC">
            <w:pPr>
              <w:autoSpaceDE w:val="0"/>
              <w:autoSpaceDN w:val="0"/>
              <w:adjustRightInd w:val="0"/>
              <w:rPr>
                <w:rFonts w:eastAsiaTheme="minorEastAsia"/>
                <w:bCs/>
                <w:kern w:val="0"/>
                <w:sz w:val="18"/>
                <w:szCs w:val="18"/>
              </w:rPr>
            </w:pPr>
            <w:r>
              <w:rPr>
                <w:rFonts w:eastAsiaTheme="minorEastAsia"/>
                <w:bCs/>
                <w:kern w:val="0"/>
                <w:sz w:val="18"/>
                <w:szCs w:val="18"/>
              </w:rPr>
              <w:t>相位编码方向</w:t>
            </w:r>
          </w:p>
        </w:tc>
        <w:tc>
          <w:tcPr>
            <w:tcW w:w="4255" w:type="dxa"/>
            <w:gridSpan w:val="3"/>
            <w:vAlign w:val="center"/>
          </w:tcPr>
          <w:p w14:paraId="3790857E">
            <w:pPr>
              <w:autoSpaceDE w:val="0"/>
              <w:autoSpaceDN w:val="0"/>
              <w:adjustRightInd w:val="0"/>
              <w:jc w:val="center"/>
              <w:rPr>
                <w:rFonts w:eastAsiaTheme="minorEastAsia"/>
                <w:bCs/>
                <w:kern w:val="0"/>
                <w:sz w:val="18"/>
                <w:szCs w:val="18"/>
              </w:rPr>
            </w:pPr>
          </w:p>
        </w:tc>
      </w:tr>
      <w:tr w14:paraId="580D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35A71C48">
            <w:pPr>
              <w:autoSpaceDE w:val="0"/>
              <w:autoSpaceDN w:val="0"/>
              <w:adjustRightInd w:val="0"/>
              <w:rPr>
                <w:rFonts w:eastAsiaTheme="minorEastAsia"/>
                <w:bCs/>
                <w:kern w:val="0"/>
                <w:sz w:val="18"/>
                <w:szCs w:val="18"/>
              </w:rPr>
            </w:pPr>
            <w:r>
              <w:rPr>
                <w:rFonts w:eastAsiaTheme="minorEastAsia"/>
                <w:bCs/>
                <w:kern w:val="0"/>
                <w:sz w:val="18"/>
                <w:szCs w:val="18"/>
              </w:rPr>
              <w:t>ROI形状</w:t>
            </w:r>
          </w:p>
        </w:tc>
        <w:tc>
          <w:tcPr>
            <w:tcW w:w="4255" w:type="dxa"/>
            <w:gridSpan w:val="3"/>
            <w:vAlign w:val="center"/>
          </w:tcPr>
          <w:p w14:paraId="66F4CA99">
            <w:pPr>
              <w:autoSpaceDE w:val="0"/>
              <w:autoSpaceDN w:val="0"/>
              <w:adjustRightInd w:val="0"/>
              <w:jc w:val="center"/>
              <w:rPr>
                <w:rFonts w:eastAsiaTheme="minorEastAsia"/>
                <w:bCs/>
                <w:kern w:val="0"/>
                <w:sz w:val="18"/>
                <w:szCs w:val="18"/>
              </w:rPr>
            </w:pPr>
          </w:p>
        </w:tc>
      </w:tr>
      <w:tr w14:paraId="3805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100E56F7">
            <w:pPr>
              <w:autoSpaceDE w:val="0"/>
              <w:autoSpaceDN w:val="0"/>
              <w:adjustRightInd w:val="0"/>
              <w:rPr>
                <w:rFonts w:eastAsiaTheme="minorEastAsia"/>
                <w:bCs/>
                <w:kern w:val="0"/>
                <w:sz w:val="18"/>
                <w:szCs w:val="18"/>
              </w:rPr>
            </w:pPr>
            <w:r>
              <w:rPr>
                <w:rFonts w:eastAsiaTheme="minorEastAsia"/>
                <w:bCs/>
                <w:kern w:val="0"/>
                <w:sz w:val="18"/>
                <w:szCs w:val="18"/>
              </w:rPr>
              <w:t>ROI尺寸(mm</w:t>
            </w:r>
            <w:r>
              <w:rPr>
                <w:rFonts w:eastAsiaTheme="minorEastAsia"/>
                <w:bCs/>
                <w:kern w:val="0"/>
                <w:sz w:val="18"/>
                <w:szCs w:val="18"/>
                <w:vertAlign w:val="superscript"/>
              </w:rPr>
              <w:t>2</w:t>
            </w:r>
            <w:r>
              <w:rPr>
                <w:rFonts w:eastAsiaTheme="minorEastAsia"/>
                <w:bCs/>
                <w:kern w:val="0"/>
                <w:sz w:val="18"/>
                <w:szCs w:val="18"/>
              </w:rPr>
              <w:t>)</w:t>
            </w:r>
          </w:p>
        </w:tc>
        <w:tc>
          <w:tcPr>
            <w:tcW w:w="4255" w:type="dxa"/>
            <w:gridSpan w:val="3"/>
            <w:vAlign w:val="center"/>
          </w:tcPr>
          <w:p w14:paraId="112AF4FC">
            <w:pPr>
              <w:autoSpaceDE w:val="0"/>
              <w:autoSpaceDN w:val="0"/>
              <w:adjustRightInd w:val="0"/>
              <w:jc w:val="center"/>
              <w:rPr>
                <w:rFonts w:eastAsiaTheme="minorEastAsia"/>
                <w:bCs/>
                <w:kern w:val="0"/>
                <w:sz w:val="18"/>
                <w:szCs w:val="18"/>
                <w:vertAlign w:val="superscript"/>
              </w:rPr>
            </w:pPr>
          </w:p>
        </w:tc>
      </w:tr>
      <w:tr w14:paraId="124C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384EF6D1">
            <w:pPr>
              <w:autoSpaceDE w:val="0"/>
              <w:autoSpaceDN w:val="0"/>
              <w:adjustRightInd w:val="0"/>
              <w:rPr>
                <w:rFonts w:eastAsiaTheme="minorEastAsia"/>
                <w:bCs/>
                <w:kern w:val="0"/>
                <w:sz w:val="18"/>
                <w:szCs w:val="18"/>
              </w:rPr>
            </w:pPr>
            <w:r>
              <w:rPr>
                <w:rFonts w:eastAsiaTheme="minorEastAsia"/>
                <w:bCs/>
                <w:kern w:val="0"/>
                <w:sz w:val="18"/>
                <w:szCs w:val="18"/>
              </w:rPr>
              <w:t>参考位置</w:t>
            </w:r>
          </w:p>
        </w:tc>
        <w:tc>
          <w:tcPr>
            <w:tcW w:w="4255" w:type="dxa"/>
            <w:gridSpan w:val="3"/>
            <w:vAlign w:val="center"/>
          </w:tcPr>
          <w:p w14:paraId="485F7D07">
            <w:pPr>
              <w:autoSpaceDE w:val="0"/>
              <w:autoSpaceDN w:val="0"/>
              <w:adjustRightInd w:val="0"/>
              <w:jc w:val="center"/>
              <w:rPr>
                <w:rFonts w:eastAsiaTheme="minorEastAsia"/>
                <w:bCs/>
                <w:kern w:val="0"/>
                <w:sz w:val="18"/>
                <w:szCs w:val="18"/>
              </w:rPr>
            </w:pPr>
          </w:p>
        </w:tc>
      </w:tr>
      <w:tr w14:paraId="3A7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14071A5B">
            <w:pPr>
              <w:autoSpaceDE w:val="0"/>
              <w:autoSpaceDN w:val="0"/>
              <w:adjustRightInd w:val="0"/>
              <w:ind w:leftChars="-1" w:hanging="1" w:hangingChars="1"/>
              <w:rPr>
                <w:rFonts w:eastAsiaTheme="minorEastAsia"/>
                <w:bCs/>
                <w:kern w:val="0"/>
                <w:sz w:val="18"/>
                <w:szCs w:val="18"/>
              </w:rPr>
            </w:pPr>
            <w:r>
              <w:rPr>
                <w:rFonts w:eastAsiaTheme="minorEastAsia"/>
                <w:bCs/>
                <w:kern w:val="0"/>
                <w:sz w:val="18"/>
                <w:szCs w:val="18"/>
              </w:rPr>
              <w:t>平均信号值S</w:t>
            </w:r>
          </w:p>
        </w:tc>
        <w:tc>
          <w:tcPr>
            <w:tcW w:w="4255" w:type="dxa"/>
            <w:gridSpan w:val="3"/>
            <w:vAlign w:val="center"/>
          </w:tcPr>
          <w:p w14:paraId="6F8AC9F5">
            <w:pPr>
              <w:autoSpaceDE w:val="0"/>
              <w:autoSpaceDN w:val="0"/>
              <w:adjustRightInd w:val="0"/>
              <w:jc w:val="center"/>
              <w:rPr>
                <w:rFonts w:eastAsiaTheme="minorEastAsia"/>
                <w:bCs/>
                <w:kern w:val="0"/>
                <w:szCs w:val="21"/>
              </w:rPr>
            </w:pPr>
          </w:p>
        </w:tc>
      </w:tr>
      <w:tr w14:paraId="2127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vAlign w:val="center"/>
          </w:tcPr>
          <w:p w14:paraId="5A4A0170">
            <w:pPr>
              <w:autoSpaceDE w:val="0"/>
              <w:autoSpaceDN w:val="0"/>
              <w:adjustRightInd w:val="0"/>
              <w:ind w:leftChars="-1" w:hanging="1" w:hangingChars="1"/>
              <w:rPr>
                <w:rFonts w:eastAsiaTheme="minorEastAsia"/>
                <w:bCs/>
                <w:kern w:val="0"/>
                <w:sz w:val="16"/>
                <w:szCs w:val="16"/>
              </w:rPr>
            </w:pPr>
            <w:r>
              <w:rPr>
                <w:rFonts w:eastAsiaTheme="minorEastAsia"/>
                <w:bCs/>
                <w:kern w:val="0"/>
                <w:sz w:val="18"/>
                <w:szCs w:val="18"/>
              </w:rPr>
              <w:t>噪声标准方差</w:t>
            </w:r>
          </w:p>
        </w:tc>
        <w:tc>
          <w:tcPr>
            <w:tcW w:w="4255" w:type="dxa"/>
            <w:gridSpan w:val="3"/>
            <w:vAlign w:val="center"/>
          </w:tcPr>
          <w:p w14:paraId="642601FF">
            <w:pPr>
              <w:autoSpaceDE w:val="0"/>
              <w:autoSpaceDN w:val="0"/>
              <w:adjustRightInd w:val="0"/>
              <w:jc w:val="center"/>
              <w:rPr>
                <w:rFonts w:eastAsiaTheme="minorEastAsia"/>
                <w:bCs/>
                <w:kern w:val="0"/>
                <w:sz w:val="18"/>
                <w:szCs w:val="18"/>
              </w:rPr>
            </w:pPr>
          </w:p>
        </w:tc>
      </w:tr>
      <w:tr w14:paraId="6445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4242" w:type="dxa"/>
            <w:vAlign w:val="center"/>
          </w:tcPr>
          <w:p w14:paraId="051D7F44">
            <w:pPr>
              <w:autoSpaceDE w:val="0"/>
              <w:autoSpaceDN w:val="0"/>
              <w:adjustRightInd w:val="0"/>
              <w:rPr>
                <w:rFonts w:eastAsiaTheme="minorEastAsia"/>
                <w:bCs/>
                <w:kern w:val="0"/>
                <w:sz w:val="18"/>
                <w:szCs w:val="18"/>
              </w:rPr>
            </w:pPr>
            <w:r>
              <w:rPr>
                <w:rFonts w:eastAsiaTheme="minorEastAsia"/>
                <w:bCs/>
                <w:kern w:val="0"/>
                <w:sz w:val="18"/>
                <w:szCs w:val="18"/>
              </w:rPr>
              <w:t>SNR</w:t>
            </w:r>
          </w:p>
        </w:tc>
        <w:tc>
          <w:tcPr>
            <w:tcW w:w="4255" w:type="dxa"/>
            <w:gridSpan w:val="3"/>
            <w:vAlign w:val="center"/>
          </w:tcPr>
          <w:p w14:paraId="57A807ED">
            <w:pPr>
              <w:autoSpaceDE w:val="0"/>
              <w:autoSpaceDN w:val="0"/>
              <w:adjustRightInd w:val="0"/>
              <w:jc w:val="center"/>
              <w:rPr>
                <w:rFonts w:eastAsiaTheme="minorEastAsia"/>
                <w:bCs/>
                <w:kern w:val="0"/>
                <w:sz w:val="18"/>
                <w:szCs w:val="18"/>
              </w:rPr>
            </w:pPr>
          </w:p>
        </w:tc>
      </w:tr>
    </w:tbl>
    <w:p w14:paraId="27905C3D">
      <w:pPr>
        <w:pStyle w:val="56"/>
        <w:numPr>
          <w:ilvl w:val="3"/>
          <w:numId w:val="2"/>
        </w:numPr>
        <w:spacing w:before="156" w:after="156"/>
        <w:rPr>
          <w:rFonts w:ascii="Times New Roman"/>
        </w:rPr>
      </w:pPr>
      <w:r>
        <w:t>均匀性</w:t>
      </w:r>
    </w:p>
    <w:p w14:paraId="3D6EB11A">
      <w:pPr>
        <w:pStyle w:val="23"/>
        <w:rPr>
          <w:rFonts w:ascii="Times New Roman"/>
        </w:rPr>
      </w:pPr>
      <w:r>
        <w:rPr>
          <w:rFonts w:ascii="Times New Roman"/>
        </w:rPr>
        <w:t>选择典型射频接收线圈（如容积线圈、体发射线圈的头部接收线圈）按照4.3.2.1~4.3.2.5的方法进行测试。</w:t>
      </w:r>
    </w:p>
    <w:p w14:paraId="5BF8B30A">
      <w:pPr>
        <w:pStyle w:val="57"/>
        <w:spacing w:before="156" w:after="156"/>
      </w:pPr>
      <w:r>
        <w:t>扫描参数</w:t>
      </w:r>
    </w:p>
    <w:p w14:paraId="0DB9AC67">
      <w:pPr>
        <w:pStyle w:val="23"/>
        <w:rPr>
          <w:rFonts w:ascii="Times New Roman"/>
        </w:rPr>
      </w:pPr>
      <w:r>
        <w:rPr>
          <w:rFonts w:ascii="Times New Roman"/>
        </w:rPr>
        <w:t>同4.4.1.2的扫描条件。</w:t>
      </w:r>
    </w:p>
    <w:p w14:paraId="74AE9CA5">
      <w:pPr>
        <w:pStyle w:val="57"/>
        <w:spacing w:before="156" w:after="156"/>
      </w:pPr>
      <w:r>
        <w:t>测量步骤</w:t>
      </w:r>
    </w:p>
    <w:p w14:paraId="0F14A0EA">
      <w:pPr>
        <w:pStyle w:val="23"/>
        <w:rPr>
          <w:rFonts w:ascii="Times New Roman"/>
        </w:rPr>
      </w:pPr>
      <w:r>
        <w:rPr>
          <w:rFonts w:ascii="Times New Roman"/>
        </w:rPr>
        <w:t>测试模具和射频线圈的放置，模拟典型诊断位置。</w:t>
      </w:r>
    </w:p>
    <w:p w14:paraId="55BD7063">
      <w:pPr>
        <w:pStyle w:val="23"/>
        <w:rPr>
          <w:rFonts w:ascii="Times New Roman"/>
        </w:rPr>
      </w:pPr>
      <w:r>
        <w:rPr>
          <w:rFonts w:ascii="Times New Roman"/>
        </w:rPr>
        <w:t>测试模具定位后，为了防止漩涡伪影，在扫描之前等待适当时间（例如，对大的测试模具等待15min）。</w:t>
      </w:r>
    </w:p>
    <w:p w14:paraId="1F96BA3F">
      <w:pPr>
        <w:pStyle w:val="57"/>
        <w:spacing w:before="156" w:after="156"/>
      </w:pPr>
      <w:r>
        <w:t>数据分析和容差</w:t>
      </w:r>
    </w:p>
    <w:p w14:paraId="56705C2E">
      <w:pPr>
        <w:pStyle w:val="145"/>
        <w:rPr>
          <w:rFonts w:eastAsiaTheme="minorEastAsia"/>
          <w:kern w:val="0"/>
          <w:szCs w:val="21"/>
        </w:rPr>
      </w:pPr>
      <w:r>
        <w:rPr>
          <w:rFonts w:eastAsiaTheme="minorEastAsia"/>
          <w:kern w:val="0"/>
          <w:szCs w:val="21"/>
        </w:rPr>
        <w:t>在ROI中信号值的归一化绝对误差均值（NAAD）定义为</w:t>
      </w:r>
    </w:p>
    <w:p w14:paraId="57AB9D9D">
      <w:pPr>
        <w:pStyle w:val="145"/>
        <w:rPr>
          <w:rFonts w:eastAsiaTheme="minorEastAsia"/>
          <w:i/>
          <w:kern w:val="0"/>
          <w:szCs w:val="21"/>
        </w:rPr>
      </w:pPr>
      <m:oMathPara>
        <m:oMath>
          <m:r>
            <m:rPr/>
            <w:rPr>
              <w:rFonts w:ascii="Cambria Math" w:hAnsi="Cambria Math" w:eastAsiaTheme="minorEastAsia"/>
              <w:kern w:val="0"/>
              <w:szCs w:val="21"/>
            </w:rPr>
            <m:t>NAAD=100[1−</m:t>
          </m:r>
          <m:f>
            <m:fPr>
              <m:ctrlPr>
                <w:rPr>
                  <w:rFonts w:ascii="Cambria Math" w:hAnsi="Cambria Math" w:eastAsiaTheme="minorEastAsia"/>
                  <w:i/>
                  <w:kern w:val="0"/>
                  <w:szCs w:val="21"/>
                </w:rPr>
              </m:ctrlPr>
            </m:fPr>
            <m:num>
              <m:r>
                <m:rPr/>
                <w:rPr>
                  <w:rFonts w:ascii="Cambria Math" w:hAnsi="Cambria Math" w:eastAsiaTheme="minorEastAsia"/>
                  <w:kern w:val="0"/>
                  <w:szCs w:val="21"/>
                </w:rPr>
                <m:t>1</m:t>
              </m:r>
              <m:ctrlPr>
                <w:rPr>
                  <w:rFonts w:ascii="Cambria Math" w:hAnsi="Cambria Math" w:eastAsiaTheme="minorEastAsia"/>
                  <w:i/>
                  <w:kern w:val="0"/>
                  <w:szCs w:val="21"/>
                </w:rPr>
              </m:ctrlPr>
            </m:num>
            <m:den>
              <m:r>
                <m:rPr/>
                <w:rPr>
                  <w:rFonts w:ascii="Cambria Math" w:hAnsi="Cambria Math" w:eastAsiaTheme="minorEastAsia"/>
                  <w:kern w:val="0"/>
                  <w:szCs w:val="21"/>
                </w:rPr>
                <m:t>NS</m:t>
              </m:r>
              <m:ctrlPr>
                <w:rPr>
                  <w:rFonts w:ascii="Cambria Math" w:hAnsi="Cambria Math" w:eastAsiaTheme="minorEastAsia"/>
                  <w:i/>
                  <w:kern w:val="0"/>
                  <w:szCs w:val="21"/>
                </w:rPr>
              </m:ctrlPr>
            </m:den>
          </m:f>
          <m:nary>
            <m:naryPr>
              <m:chr m:val="∑"/>
              <m:limLoc m:val="undOvr"/>
              <m:ctrlPr>
                <w:rPr>
                  <w:rStyle w:val="149"/>
                  <w:rFonts w:ascii="Cambria Math" w:hAnsi="Cambria Math"/>
                  <w:i/>
                  <w:color w:val="auto"/>
                </w:rPr>
              </m:ctrlPr>
            </m:naryPr>
            <m:sub>
              <m:r>
                <m:rPr/>
                <w:rPr>
                  <w:rStyle w:val="149"/>
                  <w:rFonts w:ascii="Cambria Math" w:hAnsi="Cambria Math"/>
                  <w:color w:val="auto"/>
                </w:rPr>
                <m:t>i=1</m:t>
              </m:r>
              <m:ctrlPr>
                <w:rPr>
                  <w:rStyle w:val="149"/>
                  <w:rFonts w:ascii="Cambria Math" w:hAnsi="Cambria Math"/>
                  <w:i/>
                  <w:color w:val="auto"/>
                </w:rPr>
              </m:ctrlPr>
            </m:sub>
            <m:sup>
              <m:r>
                <m:rPr/>
                <w:rPr>
                  <w:rStyle w:val="149"/>
                  <w:rFonts w:ascii="Cambria Math" w:hAnsi="Cambria Math"/>
                  <w:color w:val="auto"/>
                </w:rPr>
                <m:t>N</m:t>
              </m:r>
              <m:ctrlPr>
                <w:rPr>
                  <w:rStyle w:val="149"/>
                  <w:rFonts w:ascii="Cambria Math" w:hAnsi="Cambria Math"/>
                  <w:i/>
                  <w:color w:val="auto"/>
                </w:rPr>
              </m:ctrlPr>
            </m:sup>
            <m:e>
              <m:r>
                <m:rPr/>
                <w:rPr>
                  <w:rStyle w:val="149"/>
                  <w:rFonts w:ascii="Cambria Math" w:hAnsi="Cambria Math"/>
                  <w:color w:val="auto"/>
                </w:rPr>
                <m:t>(|</m:t>
              </m:r>
              <m:sSub>
                <m:sSubPr>
                  <m:ctrlPr>
                    <w:rPr>
                      <w:rStyle w:val="149"/>
                      <w:rFonts w:ascii="Cambria Math" w:hAnsi="Cambria Math"/>
                      <w:i/>
                      <w:color w:val="auto"/>
                    </w:rPr>
                  </m:ctrlPr>
                </m:sSubPr>
                <m:e>
                  <m:r>
                    <m:rPr/>
                    <w:rPr>
                      <w:rStyle w:val="149"/>
                      <w:rFonts w:ascii="Cambria Math" w:hAnsi="Cambria Math"/>
                      <w:color w:val="auto"/>
                    </w:rPr>
                    <m:t>S</m:t>
                  </m:r>
                  <m:ctrlPr>
                    <w:rPr>
                      <w:rStyle w:val="149"/>
                      <w:rFonts w:ascii="Cambria Math" w:hAnsi="Cambria Math"/>
                      <w:i/>
                      <w:color w:val="auto"/>
                    </w:rPr>
                  </m:ctrlPr>
                </m:e>
                <m:sub>
                  <m:r>
                    <m:rPr/>
                    <w:rPr>
                      <w:rStyle w:val="149"/>
                      <w:rFonts w:ascii="Cambria Math" w:hAnsi="Cambria Math"/>
                      <w:color w:val="auto"/>
                    </w:rPr>
                    <m:t>i</m:t>
                  </m:r>
                  <m:ctrlPr>
                    <w:rPr>
                      <w:rStyle w:val="149"/>
                      <w:rFonts w:ascii="Cambria Math" w:hAnsi="Cambria Math"/>
                      <w:i/>
                      <w:color w:val="auto"/>
                    </w:rPr>
                  </m:ctrlPr>
                </m:sub>
              </m:sSub>
              <m:r>
                <m:rPr/>
                <w:rPr>
                  <w:rStyle w:val="149"/>
                  <w:rFonts w:ascii="Cambria Math" w:hAnsi="Cambria Math"/>
                  <w:color w:val="auto"/>
                </w:rPr>
                <m:t>−S|</m:t>
              </m:r>
              <m:ctrlPr>
                <w:rPr>
                  <w:rStyle w:val="149"/>
                  <w:rFonts w:ascii="Cambria Math" w:hAnsi="Cambria Math"/>
                  <w:i/>
                  <w:color w:val="auto"/>
                </w:rPr>
              </m:ctrlPr>
            </m:e>
          </m:nary>
          <m:r>
            <m:rPr/>
            <w:rPr>
              <w:rStyle w:val="149"/>
              <w:rFonts w:ascii="Cambria Math" w:hAnsi="Cambria Math"/>
              <w:color w:val="auto"/>
            </w:rPr>
            <m:t>)]</m:t>
          </m:r>
        </m:oMath>
      </m:oMathPara>
    </w:p>
    <w:p w14:paraId="6DCA82E6">
      <w:pPr>
        <w:pStyle w:val="145"/>
        <w:rPr>
          <w:rFonts w:eastAsiaTheme="minorEastAsia"/>
          <w:kern w:val="0"/>
          <w:szCs w:val="21"/>
        </w:rPr>
      </w:pPr>
      <w:r>
        <w:rPr>
          <w:rFonts w:eastAsiaTheme="minorEastAsia"/>
          <w:kern w:val="0"/>
          <w:szCs w:val="21"/>
        </w:rPr>
        <w:t>式中：</w:t>
      </w:r>
    </w:p>
    <w:p w14:paraId="0D0C9CDB">
      <w:pPr>
        <w:pStyle w:val="145"/>
        <w:rPr>
          <w:rFonts w:eastAsiaTheme="minorEastAsia"/>
          <w:kern w:val="0"/>
          <w:szCs w:val="21"/>
        </w:rPr>
      </w:pPr>
      <w:r>
        <w:rPr>
          <w:rFonts w:eastAsiaTheme="minorEastAsia"/>
          <w:kern w:val="0"/>
          <w:szCs w:val="21"/>
        </w:rPr>
        <w:t>Si ——为在ROI中的单个像素值；</w:t>
      </w:r>
    </w:p>
    <w:p w14:paraId="37EA353B">
      <w:pPr>
        <w:pStyle w:val="145"/>
        <w:rPr>
          <w:rFonts w:eastAsiaTheme="minorEastAsia"/>
          <w:kern w:val="0"/>
          <w:szCs w:val="21"/>
        </w:rPr>
      </w:pPr>
      <w:r>
        <w:rPr>
          <w:rFonts w:eastAsiaTheme="minorEastAsia"/>
          <w:kern w:val="0"/>
          <w:szCs w:val="21"/>
        </w:rPr>
        <w:t>S ——为在ROI中的所有像素的平均值；</w:t>
      </w:r>
    </w:p>
    <w:p w14:paraId="2F08F0B3">
      <w:pPr>
        <w:pStyle w:val="145"/>
        <w:rPr>
          <w:rFonts w:eastAsiaTheme="minorEastAsia"/>
          <w:kern w:val="0"/>
          <w:szCs w:val="21"/>
        </w:rPr>
      </w:pPr>
      <w:r>
        <w:rPr>
          <w:rFonts w:eastAsiaTheme="minorEastAsia"/>
          <w:kern w:val="0"/>
          <w:szCs w:val="21"/>
        </w:rPr>
        <w:t>|Si -S| ——为像素i的绝对误差；和</w:t>
      </w:r>
    </w:p>
    <w:p w14:paraId="0506DBD2">
      <w:pPr>
        <w:pStyle w:val="145"/>
        <w:rPr>
          <w:rFonts w:eastAsiaTheme="minorEastAsia"/>
          <w:kern w:val="0"/>
          <w:szCs w:val="21"/>
        </w:rPr>
      </w:pPr>
      <w:r>
        <w:rPr>
          <w:rFonts w:eastAsiaTheme="minorEastAsia"/>
          <w:kern w:val="0"/>
          <w:szCs w:val="21"/>
        </w:rPr>
        <w:t>N ——为在ROI中的像素总数。</w:t>
      </w:r>
    </w:p>
    <w:p w14:paraId="142A6859">
      <w:pPr>
        <w:pStyle w:val="145"/>
        <w:rPr>
          <w:rFonts w:eastAsiaTheme="minorEastAsia"/>
          <w:kern w:val="0"/>
          <w:szCs w:val="21"/>
        </w:rPr>
      </w:pPr>
      <w:r>
        <w:rPr>
          <w:rFonts w:eastAsiaTheme="minorEastAsia"/>
          <w:kern w:val="0"/>
          <w:szCs w:val="21"/>
        </w:rPr>
        <w:t>计算ROI内的均匀性：</w:t>
      </w:r>
    </w:p>
    <w:p w14:paraId="3C22CDF6">
      <w:pPr>
        <w:pStyle w:val="23"/>
        <w:rPr>
          <w:rFonts w:ascii="Times New Roman"/>
        </w:rPr>
      </w:pPr>
      <w:r>
        <w:rPr>
          <w:rFonts w:ascii="Times New Roman"/>
        </w:rPr>
        <w:t>a）绘出的ROI要至少包含规范区域面的85％。</w:t>
      </w:r>
    </w:p>
    <w:p w14:paraId="5FBE179F">
      <w:pPr>
        <w:pStyle w:val="23"/>
        <w:rPr>
          <w:rFonts w:ascii="Times New Roman"/>
        </w:rPr>
      </w:pPr>
      <w:r>
        <w:rPr>
          <w:rFonts w:ascii="Times New Roman"/>
        </w:rPr>
        <w:t>b）计算ROI中的NAAD，U=NAAD。</w:t>
      </w:r>
    </w:p>
    <w:p w14:paraId="028A7A36">
      <w:pPr>
        <w:pStyle w:val="23"/>
        <w:rPr>
          <w:rFonts w:ascii="Times New Roman" w:eastAsia="黑体"/>
          <w:szCs w:val="21"/>
        </w:rPr>
      </w:pPr>
      <w:r>
        <w:rPr>
          <w:rFonts w:ascii="Times New Roman"/>
        </w:rPr>
        <w:t>c）或，计算ROI中的非均匀性NU，NU=100-U。</w:t>
      </w:r>
    </w:p>
    <w:p w14:paraId="39191E1C">
      <w:pPr>
        <w:pStyle w:val="57"/>
        <w:spacing w:before="156" w:after="156"/>
      </w:pPr>
      <w:r>
        <w:t>结果报告</w:t>
      </w:r>
    </w:p>
    <w:p w14:paraId="6A84494C">
      <w:pPr>
        <w:pStyle w:val="23"/>
        <w:ind w:firstLine="0" w:firstLineChars="0"/>
        <w:jc w:val="center"/>
      </w:pPr>
      <w:r>
        <w:rPr>
          <w:rFonts w:hint="eastAsia"/>
        </w:rPr>
        <w:t>表2 均匀性结果报告</w:t>
      </w:r>
    </w:p>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11"/>
        <w:gridCol w:w="4241"/>
      </w:tblGrid>
      <w:tr w14:paraId="2502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2AC6BB0B">
            <w:pPr>
              <w:jc w:val="center"/>
              <w:rPr>
                <w:rFonts w:eastAsiaTheme="minorEastAsia"/>
                <w:bCs/>
                <w:sz w:val="18"/>
                <w:szCs w:val="18"/>
              </w:rPr>
            </w:pPr>
            <w:r>
              <w:rPr>
                <w:rFonts w:eastAsiaTheme="minorEastAsia"/>
                <w:kern w:val="0"/>
                <w:szCs w:val="21"/>
              </w:rPr>
              <w:t>通用</w:t>
            </w:r>
            <w:r>
              <w:t>参数</w:t>
            </w:r>
          </w:p>
        </w:tc>
      </w:tr>
      <w:tr w14:paraId="5A52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6706B3A1">
            <w:pPr>
              <w:jc w:val="center"/>
              <w:rPr>
                <w:rFonts w:eastAsiaTheme="minorEastAsia"/>
                <w:kern w:val="0"/>
                <w:szCs w:val="21"/>
              </w:rPr>
            </w:pPr>
            <w:r>
              <w:rPr>
                <w:rFonts w:eastAsiaTheme="minorEastAsia"/>
                <w:bCs/>
                <w:sz w:val="18"/>
                <w:szCs w:val="18"/>
              </w:rPr>
              <w:t>参数</w:t>
            </w:r>
          </w:p>
        </w:tc>
        <w:tc>
          <w:tcPr>
            <w:tcW w:w="4236" w:type="dxa"/>
          </w:tcPr>
          <w:p w14:paraId="07261077">
            <w:pPr>
              <w:jc w:val="center"/>
              <w:rPr>
                <w:rFonts w:eastAsiaTheme="minorEastAsia"/>
                <w:bCs/>
                <w:sz w:val="18"/>
                <w:szCs w:val="18"/>
              </w:rPr>
            </w:pPr>
            <w:r>
              <w:rPr>
                <w:rFonts w:eastAsiaTheme="minorEastAsia"/>
                <w:bCs/>
                <w:sz w:val="18"/>
                <w:szCs w:val="18"/>
              </w:rPr>
              <w:t>值/单位</w:t>
            </w:r>
          </w:p>
        </w:tc>
      </w:tr>
      <w:tr w14:paraId="4D68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26E229BE">
            <w:pPr>
              <w:jc w:val="center"/>
              <w:rPr>
                <w:rFonts w:eastAsiaTheme="minorEastAsia"/>
                <w:bCs/>
                <w:sz w:val="18"/>
                <w:szCs w:val="18"/>
              </w:rPr>
            </w:pPr>
            <w:r>
              <w:rPr>
                <w:rFonts w:eastAsiaTheme="minorEastAsia"/>
                <w:bCs/>
                <w:sz w:val="18"/>
                <w:szCs w:val="18"/>
              </w:rPr>
              <w:t>概要</w:t>
            </w:r>
          </w:p>
        </w:tc>
      </w:tr>
      <w:tr w14:paraId="7EA1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304E20D0">
            <w:pPr>
              <w:rPr>
                <w:rFonts w:eastAsiaTheme="minorEastAsia"/>
                <w:bCs/>
                <w:sz w:val="18"/>
                <w:szCs w:val="18"/>
              </w:rPr>
            </w:pPr>
            <w:r>
              <w:rPr>
                <w:rFonts w:eastAsiaTheme="minorEastAsia"/>
                <w:bCs/>
                <w:sz w:val="18"/>
                <w:szCs w:val="18"/>
              </w:rPr>
              <w:t>磁共振设备供应商/型号</w:t>
            </w:r>
          </w:p>
        </w:tc>
        <w:tc>
          <w:tcPr>
            <w:tcW w:w="4236" w:type="dxa"/>
          </w:tcPr>
          <w:p w14:paraId="404DAADF">
            <w:pPr>
              <w:rPr>
                <w:rFonts w:eastAsiaTheme="minorEastAsia"/>
                <w:bCs/>
                <w:sz w:val="18"/>
                <w:szCs w:val="18"/>
              </w:rPr>
            </w:pPr>
          </w:p>
        </w:tc>
      </w:tr>
      <w:tr w14:paraId="4987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02D5A7C4">
            <w:pPr>
              <w:rPr>
                <w:rFonts w:eastAsiaTheme="minorEastAsia"/>
                <w:bCs/>
                <w:sz w:val="18"/>
                <w:szCs w:val="18"/>
              </w:rPr>
            </w:pPr>
            <w:r>
              <w:rPr>
                <w:rFonts w:eastAsiaTheme="minorEastAsia"/>
                <w:bCs/>
                <w:sz w:val="18"/>
                <w:szCs w:val="18"/>
              </w:rPr>
              <w:t>软件版本</w:t>
            </w:r>
          </w:p>
        </w:tc>
        <w:tc>
          <w:tcPr>
            <w:tcW w:w="4236" w:type="dxa"/>
          </w:tcPr>
          <w:p w14:paraId="5991CD90">
            <w:pPr>
              <w:rPr>
                <w:rFonts w:eastAsiaTheme="minorEastAsia"/>
                <w:bCs/>
                <w:sz w:val="18"/>
                <w:szCs w:val="18"/>
              </w:rPr>
            </w:pPr>
          </w:p>
        </w:tc>
      </w:tr>
      <w:tr w14:paraId="7C04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7F6DB850">
            <w:pPr>
              <w:rPr>
                <w:rFonts w:eastAsiaTheme="minorEastAsia"/>
                <w:bCs/>
                <w:sz w:val="18"/>
                <w:szCs w:val="18"/>
              </w:rPr>
            </w:pPr>
            <w:r>
              <w:rPr>
                <w:rFonts w:eastAsiaTheme="minorEastAsia"/>
                <w:bCs/>
                <w:sz w:val="18"/>
                <w:szCs w:val="18"/>
              </w:rPr>
              <w:t>协议ID（可选）</w:t>
            </w:r>
          </w:p>
        </w:tc>
        <w:tc>
          <w:tcPr>
            <w:tcW w:w="4236" w:type="dxa"/>
          </w:tcPr>
          <w:p w14:paraId="2F44C349">
            <w:pPr>
              <w:rPr>
                <w:rFonts w:eastAsiaTheme="minorEastAsia"/>
                <w:bCs/>
                <w:sz w:val="18"/>
                <w:szCs w:val="18"/>
              </w:rPr>
            </w:pPr>
          </w:p>
        </w:tc>
      </w:tr>
      <w:tr w14:paraId="605C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540ECD60">
            <w:pPr>
              <w:rPr>
                <w:rFonts w:eastAsiaTheme="minorEastAsia"/>
                <w:bCs/>
                <w:sz w:val="18"/>
                <w:szCs w:val="18"/>
              </w:rPr>
            </w:pPr>
            <w:r>
              <w:rPr>
                <w:rFonts w:eastAsiaTheme="minorEastAsia"/>
                <w:bCs/>
                <w:sz w:val="18"/>
                <w:szCs w:val="18"/>
              </w:rPr>
              <w:t>场强</w:t>
            </w:r>
          </w:p>
        </w:tc>
        <w:tc>
          <w:tcPr>
            <w:tcW w:w="4236" w:type="dxa"/>
          </w:tcPr>
          <w:p w14:paraId="56E9BF4E">
            <w:pPr>
              <w:rPr>
                <w:rFonts w:eastAsiaTheme="minorEastAsia"/>
                <w:bCs/>
                <w:sz w:val="18"/>
                <w:szCs w:val="18"/>
              </w:rPr>
            </w:pPr>
            <w:r>
              <w:rPr>
                <w:rFonts w:eastAsiaTheme="minorEastAsia"/>
                <w:bCs/>
                <w:sz w:val="18"/>
                <w:szCs w:val="18"/>
              </w:rPr>
              <w:t>T</w:t>
            </w:r>
          </w:p>
        </w:tc>
      </w:tr>
      <w:tr w14:paraId="1EB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683A468F">
            <w:pPr>
              <w:jc w:val="center"/>
              <w:rPr>
                <w:rFonts w:eastAsiaTheme="minorEastAsia"/>
                <w:bCs/>
                <w:sz w:val="18"/>
                <w:szCs w:val="18"/>
              </w:rPr>
            </w:pPr>
            <w:r>
              <w:rPr>
                <w:rFonts w:eastAsiaTheme="minorEastAsia"/>
                <w:bCs/>
                <w:sz w:val="18"/>
                <w:szCs w:val="18"/>
              </w:rPr>
              <w:t>规范区域体</w:t>
            </w:r>
          </w:p>
        </w:tc>
      </w:tr>
      <w:tr w14:paraId="52BD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2809F955">
            <w:pPr>
              <w:rPr>
                <w:rFonts w:eastAsiaTheme="minorEastAsia"/>
                <w:bCs/>
                <w:sz w:val="18"/>
                <w:szCs w:val="18"/>
              </w:rPr>
            </w:pPr>
            <w:r>
              <w:rPr>
                <w:rFonts w:eastAsiaTheme="minorEastAsia"/>
                <w:bCs/>
                <w:sz w:val="18"/>
                <w:szCs w:val="18"/>
              </w:rPr>
              <w:t>形状</w:t>
            </w:r>
          </w:p>
        </w:tc>
        <w:tc>
          <w:tcPr>
            <w:tcW w:w="4236" w:type="dxa"/>
          </w:tcPr>
          <w:p w14:paraId="21AF0773">
            <w:pPr>
              <w:rPr>
                <w:rFonts w:eastAsiaTheme="minorEastAsia"/>
                <w:bCs/>
                <w:sz w:val="18"/>
                <w:szCs w:val="18"/>
              </w:rPr>
            </w:pPr>
            <w:r>
              <w:rPr>
                <w:rFonts w:eastAsiaTheme="minorEastAsia"/>
                <w:bCs/>
                <w:sz w:val="18"/>
                <w:szCs w:val="18"/>
              </w:rPr>
              <w:t>球形，椭球形，立方体，其他（指定）</w:t>
            </w:r>
          </w:p>
        </w:tc>
      </w:tr>
      <w:tr w14:paraId="2723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4C860493">
            <w:pPr>
              <w:rPr>
                <w:rFonts w:eastAsiaTheme="minorEastAsia"/>
                <w:bCs/>
                <w:sz w:val="18"/>
                <w:szCs w:val="18"/>
              </w:rPr>
            </w:pPr>
            <w:r>
              <w:rPr>
                <w:rFonts w:eastAsiaTheme="minorEastAsia"/>
                <w:bCs/>
                <w:sz w:val="18"/>
                <w:szCs w:val="18"/>
              </w:rPr>
              <w:t>尺寸</w:t>
            </w:r>
          </w:p>
        </w:tc>
        <w:tc>
          <w:tcPr>
            <w:tcW w:w="4236" w:type="dxa"/>
          </w:tcPr>
          <w:p w14:paraId="4C6A5AA3">
            <w:pPr>
              <w:rPr>
                <w:rFonts w:eastAsiaTheme="minorEastAsia"/>
                <w:bCs/>
                <w:sz w:val="18"/>
                <w:szCs w:val="18"/>
              </w:rPr>
            </w:pPr>
            <w:r>
              <w:rPr>
                <w:rFonts w:eastAsiaTheme="minorEastAsia"/>
                <w:bCs/>
                <w:color w:val="000000"/>
                <w:kern w:val="0"/>
                <w:sz w:val="18"/>
                <w:szCs w:val="18"/>
              </w:rPr>
              <w:t>d（x,y,z）, mm</w:t>
            </w:r>
          </w:p>
        </w:tc>
      </w:tr>
      <w:tr w14:paraId="3F6C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295008AF">
            <w:pPr>
              <w:rPr>
                <w:rFonts w:eastAsiaTheme="minorEastAsia"/>
                <w:bCs/>
                <w:sz w:val="18"/>
                <w:szCs w:val="18"/>
              </w:rPr>
            </w:pPr>
            <w:r>
              <w:rPr>
                <w:rFonts w:eastAsiaTheme="minorEastAsia"/>
                <w:bCs/>
                <w:sz w:val="18"/>
                <w:szCs w:val="18"/>
              </w:rPr>
              <w:t>中心（相对于等中心）</w:t>
            </w:r>
          </w:p>
        </w:tc>
        <w:tc>
          <w:tcPr>
            <w:tcW w:w="4236" w:type="dxa"/>
          </w:tcPr>
          <w:p w14:paraId="7E69E468">
            <w:pPr>
              <w:rPr>
                <w:rFonts w:eastAsiaTheme="minorEastAsia"/>
                <w:bCs/>
                <w:sz w:val="18"/>
                <w:szCs w:val="18"/>
              </w:rPr>
            </w:pPr>
            <w:r>
              <w:rPr>
                <w:rFonts w:eastAsiaTheme="minorEastAsia"/>
                <w:bCs/>
                <w:color w:val="000000"/>
                <w:kern w:val="0"/>
                <w:sz w:val="18"/>
                <w:szCs w:val="18"/>
              </w:rPr>
              <w:t>(x,y,z), mm</w:t>
            </w:r>
          </w:p>
        </w:tc>
      </w:tr>
      <w:tr w14:paraId="5686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3D4D38BE">
            <w:pPr>
              <w:jc w:val="center"/>
              <w:rPr>
                <w:rFonts w:eastAsiaTheme="minorEastAsia"/>
                <w:bCs/>
                <w:sz w:val="18"/>
                <w:szCs w:val="18"/>
              </w:rPr>
            </w:pPr>
            <w:r>
              <w:rPr>
                <w:rFonts w:eastAsiaTheme="minorEastAsia"/>
                <w:bCs/>
                <w:sz w:val="18"/>
                <w:szCs w:val="18"/>
              </w:rPr>
              <w:t>规范区域面</w:t>
            </w:r>
          </w:p>
        </w:tc>
      </w:tr>
      <w:tr w14:paraId="2343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06A659DA">
            <w:pPr>
              <w:rPr>
                <w:rFonts w:eastAsiaTheme="minorEastAsia"/>
                <w:bCs/>
                <w:sz w:val="18"/>
                <w:szCs w:val="18"/>
              </w:rPr>
            </w:pPr>
            <w:r>
              <w:rPr>
                <w:rFonts w:eastAsiaTheme="minorEastAsia"/>
                <w:bCs/>
                <w:sz w:val="18"/>
                <w:szCs w:val="18"/>
              </w:rPr>
              <w:t>形状</w:t>
            </w:r>
          </w:p>
        </w:tc>
        <w:tc>
          <w:tcPr>
            <w:tcW w:w="4236" w:type="dxa"/>
          </w:tcPr>
          <w:p w14:paraId="36D1A210">
            <w:pPr>
              <w:rPr>
                <w:rFonts w:eastAsiaTheme="minorEastAsia"/>
                <w:bCs/>
                <w:sz w:val="18"/>
                <w:szCs w:val="18"/>
              </w:rPr>
            </w:pPr>
            <w:r>
              <w:rPr>
                <w:rFonts w:eastAsiaTheme="minorEastAsia"/>
                <w:bCs/>
                <w:sz w:val="18"/>
                <w:szCs w:val="18"/>
              </w:rPr>
              <w:t>圆，椭圆，矩形，其他（指定）</w:t>
            </w:r>
          </w:p>
        </w:tc>
      </w:tr>
      <w:tr w14:paraId="16AC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60D1669D">
            <w:pPr>
              <w:rPr>
                <w:rFonts w:eastAsiaTheme="minorEastAsia"/>
                <w:bCs/>
                <w:sz w:val="18"/>
                <w:szCs w:val="18"/>
              </w:rPr>
            </w:pPr>
            <w:r>
              <w:rPr>
                <w:rFonts w:eastAsiaTheme="minorEastAsia"/>
                <w:bCs/>
                <w:sz w:val="18"/>
                <w:szCs w:val="18"/>
              </w:rPr>
              <w:t>尺寸</w:t>
            </w:r>
          </w:p>
        </w:tc>
        <w:tc>
          <w:tcPr>
            <w:tcW w:w="4236" w:type="dxa"/>
          </w:tcPr>
          <w:p w14:paraId="5C5A7E4F">
            <w:pPr>
              <w:rPr>
                <w:rFonts w:eastAsiaTheme="minorEastAsia"/>
                <w:bCs/>
                <w:sz w:val="18"/>
                <w:szCs w:val="18"/>
              </w:rPr>
            </w:pPr>
            <w:r>
              <w:rPr>
                <w:rFonts w:eastAsiaTheme="minorEastAsia"/>
                <w:bCs/>
                <w:color w:val="000000"/>
                <w:kern w:val="0"/>
                <w:sz w:val="18"/>
                <w:szCs w:val="18"/>
              </w:rPr>
              <w:t>d（x,y,z）, mm</w:t>
            </w:r>
          </w:p>
        </w:tc>
      </w:tr>
      <w:tr w14:paraId="0A32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727A3039">
            <w:pPr>
              <w:rPr>
                <w:rFonts w:eastAsiaTheme="minorEastAsia"/>
                <w:bCs/>
                <w:sz w:val="18"/>
                <w:szCs w:val="18"/>
              </w:rPr>
            </w:pPr>
            <w:r>
              <w:rPr>
                <w:rFonts w:eastAsiaTheme="minorEastAsia"/>
                <w:bCs/>
                <w:sz w:val="18"/>
                <w:szCs w:val="18"/>
              </w:rPr>
              <w:t>中心（相对于等中心）</w:t>
            </w:r>
          </w:p>
        </w:tc>
        <w:tc>
          <w:tcPr>
            <w:tcW w:w="4236" w:type="dxa"/>
          </w:tcPr>
          <w:p w14:paraId="5498EFBE">
            <w:pPr>
              <w:rPr>
                <w:rFonts w:eastAsiaTheme="minorEastAsia"/>
                <w:bCs/>
                <w:sz w:val="18"/>
                <w:szCs w:val="18"/>
              </w:rPr>
            </w:pPr>
            <w:r>
              <w:rPr>
                <w:rFonts w:eastAsiaTheme="minorEastAsia"/>
                <w:bCs/>
                <w:color w:val="000000"/>
                <w:kern w:val="0"/>
                <w:sz w:val="18"/>
                <w:szCs w:val="18"/>
              </w:rPr>
              <w:t>(x,y,z), mm</w:t>
            </w:r>
          </w:p>
        </w:tc>
      </w:tr>
      <w:tr w14:paraId="2C5D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4510B0D9">
            <w:pPr>
              <w:jc w:val="center"/>
              <w:rPr>
                <w:rFonts w:eastAsiaTheme="minorEastAsia"/>
                <w:bCs/>
                <w:sz w:val="18"/>
                <w:szCs w:val="18"/>
              </w:rPr>
            </w:pPr>
            <w:r>
              <w:rPr>
                <w:rFonts w:eastAsiaTheme="minorEastAsia"/>
                <w:bCs/>
                <w:sz w:val="18"/>
                <w:szCs w:val="18"/>
              </w:rPr>
              <w:t>发射线圈</w:t>
            </w:r>
          </w:p>
        </w:tc>
      </w:tr>
      <w:tr w14:paraId="2F66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12C82C59">
            <w:pPr>
              <w:rPr>
                <w:rFonts w:eastAsiaTheme="minorEastAsia"/>
                <w:bCs/>
                <w:sz w:val="18"/>
                <w:szCs w:val="18"/>
              </w:rPr>
            </w:pPr>
            <w:r>
              <w:rPr>
                <w:rFonts w:eastAsiaTheme="minorEastAsia"/>
                <w:bCs/>
                <w:sz w:val="18"/>
                <w:szCs w:val="18"/>
              </w:rPr>
              <w:t>类型</w:t>
            </w:r>
          </w:p>
        </w:tc>
        <w:tc>
          <w:tcPr>
            <w:tcW w:w="4236" w:type="dxa"/>
          </w:tcPr>
          <w:p w14:paraId="245A1864">
            <w:pPr>
              <w:rPr>
                <w:rFonts w:eastAsiaTheme="minorEastAsia"/>
                <w:bCs/>
                <w:sz w:val="18"/>
                <w:szCs w:val="18"/>
              </w:rPr>
            </w:pPr>
          </w:p>
        </w:tc>
      </w:tr>
      <w:tr w14:paraId="7B59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0B74844A">
            <w:pPr>
              <w:rPr>
                <w:rFonts w:eastAsiaTheme="minorEastAsia"/>
                <w:bCs/>
                <w:sz w:val="18"/>
                <w:szCs w:val="18"/>
              </w:rPr>
            </w:pPr>
            <w:r>
              <w:rPr>
                <w:rFonts w:eastAsiaTheme="minorEastAsia"/>
                <w:bCs/>
                <w:sz w:val="18"/>
                <w:szCs w:val="18"/>
              </w:rPr>
              <w:t>名称</w:t>
            </w:r>
          </w:p>
        </w:tc>
        <w:tc>
          <w:tcPr>
            <w:tcW w:w="4236" w:type="dxa"/>
          </w:tcPr>
          <w:p w14:paraId="1003C2EF">
            <w:pPr>
              <w:rPr>
                <w:rFonts w:eastAsiaTheme="minorEastAsia"/>
                <w:bCs/>
                <w:sz w:val="18"/>
                <w:szCs w:val="18"/>
              </w:rPr>
            </w:pPr>
          </w:p>
        </w:tc>
      </w:tr>
      <w:tr w14:paraId="62D2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45BA2A70">
            <w:pPr>
              <w:rPr>
                <w:rFonts w:eastAsiaTheme="minorEastAsia"/>
                <w:bCs/>
                <w:sz w:val="18"/>
                <w:szCs w:val="18"/>
              </w:rPr>
            </w:pPr>
            <w:r>
              <w:rPr>
                <w:rFonts w:eastAsiaTheme="minorEastAsia"/>
                <w:bCs/>
                <w:sz w:val="18"/>
                <w:szCs w:val="18"/>
              </w:rPr>
              <w:t>发射通道数</w:t>
            </w:r>
          </w:p>
        </w:tc>
        <w:tc>
          <w:tcPr>
            <w:tcW w:w="4236" w:type="dxa"/>
          </w:tcPr>
          <w:p w14:paraId="11FAEFEB">
            <w:pPr>
              <w:rPr>
                <w:rFonts w:eastAsiaTheme="minorEastAsia"/>
                <w:bCs/>
                <w:sz w:val="18"/>
                <w:szCs w:val="18"/>
              </w:rPr>
            </w:pPr>
          </w:p>
        </w:tc>
      </w:tr>
      <w:tr w14:paraId="2BFB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4C118540">
            <w:pPr>
              <w:rPr>
                <w:rFonts w:eastAsiaTheme="minorEastAsia"/>
                <w:bCs/>
                <w:sz w:val="18"/>
                <w:szCs w:val="18"/>
              </w:rPr>
            </w:pPr>
            <w:r>
              <w:rPr>
                <w:rFonts w:eastAsiaTheme="minorEastAsia"/>
                <w:bCs/>
                <w:sz w:val="18"/>
                <w:szCs w:val="18"/>
              </w:rPr>
              <w:t>尺寸</w:t>
            </w:r>
          </w:p>
        </w:tc>
        <w:tc>
          <w:tcPr>
            <w:tcW w:w="4236" w:type="dxa"/>
          </w:tcPr>
          <w:p w14:paraId="5731C90E">
            <w:pPr>
              <w:rPr>
                <w:rFonts w:eastAsiaTheme="minorEastAsia"/>
                <w:bCs/>
                <w:sz w:val="18"/>
                <w:szCs w:val="18"/>
              </w:rPr>
            </w:pPr>
            <w:r>
              <w:rPr>
                <w:rFonts w:eastAsiaTheme="minorEastAsia"/>
                <w:bCs/>
                <w:color w:val="000000"/>
                <w:kern w:val="0"/>
                <w:sz w:val="18"/>
                <w:szCs w:val="18"/>
              </w:rPr>
              <w:t>d（x,y,z）, mm</w:t>
            </w:r>
          </w:p>
        </w:tc>
      </w:tr>
      <w:tr w14:paraId="33D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59EE63C3">
            <w:pPr>
              <w:rPr>
                <w:rFonts w:eastAsiaTheme="minorEastAsia"/>
                <w:bCs/>
                <w:sz w:val="18"/>
                <w:szCs w:val="18"/>
              </w:rPr>
            </w:pPr>
            <w:r>
              <w:rPr>
                <w:rFonts w:eastAsiaTheme="minorEastAsia"/>
                <w:bCs/>
                <w:sz w:val="18"/>
                <w:szCs w:val="18"/>
              </w:rPr>
              <w:t>发射模式</w:t>
            </w:r>
          </w:p>
        </w:tc>
        <w:tc>
          <w:tcPr>
            <w:tcW w:w="4236" w:type="dxa"/>
          </w:tcPr>
          <w:p w14:paraId="297620E9">
            <w:pPr>
              <w:rPr>
                <w:rFonts w:eastAsiaTheme="minorEastAsia"/>
                <w:bCs/>
                <w:color w:val="000000"/>
                <w:kern w:val="0"/>
                <w:sz w:val="18"/>
                <w:szCs w:val="18"/>
              </w:rPr>
            </w:pPr>
            <w:r>
              <w:rPr>
                <w:rFonts w:eastAsiaTheme="minorEastAsia"/>
                <w:bCs/>
                <w:color w:val="000000"/>
                <w:kern w:val="0"/>
                <w:sz w:val="18"/>
                <w:szCs w:val="18"/>
              </w:rPr>
              <w:t>线性，圆极化，其他（指定）</w:t>
            </w:r>
          </w:p>
        </w:tc>
      </w:tr>
      <w:tr w14:paraId="7DDE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30BDD699">
            <w:pPr>
              <w:jc w:val="center"/>
              <w:rPr>
                <w:rFonts w:eastAsiaTheme="minorEastAsia"/>
                <w:bCs/>
                <w:color w:val="000000"/>
                <w:kern w:val="0"/>
                <w:sz w:val="18"/>
                <w:szCs w:val="18"/>
              </w:rPr>
            </w:pPr>
            <w:r>
              <w:rPr>
                <w:rFonts w:eastAsiaTheme="minorEastAsia"/>
                <w:bCs/>
                <w:color w:val="000000"/>
                <w:kern w:val="0"/>
                <w:sz w:val="18"/>
                <w:szCs w:val="18"/>
              </w:rPr>
              <w:t>接收线圈</w:t>
            </w:r>
          </w:p>
        </w:tc>
      </w:tr>
      <w:tr w14:paraId="5AC0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5B1C0424">
            <w:pPr>
              <w:rPr>
                <w:rFonts w:eastAsiaTheme="minorEastAsia"/>
                <w:bCs/>
                <w:sz w:val="18"/>
                <w:szCs w:val="18"/>
              </w:rPr>
            </w:pPr>
            <w:r>
              <w:rPr>
                <w:rFonts w:eastAsiaTheme="minorEastAsia"/>
                <w:bCs/>
                <w:sz w:val="18"/>
                <w:szCs w:val="18"/>
              </w:rPr>
              <w:t>类型</w:t>
            </w:r>
          </w:p>
        </w:tc>
        <w:tc>
          <w:tcPr>
            <w:tcW w:w="4236" w:type="dxa"/>
          </w:tcPr>
          <w:p w14:paraId="5CD7B829">
            <w:pPr>
              <w:rPr>
                <w:rFonts w:eastAsiaTheme="minorEastAsia"/>
                <w:bCs/>
                <w:color w:val="000000"/>
                <w:kern w:val="0"/>
                <w:sz w:val="18"/>
                <w:szCs w:val="18"/>
              </w:rPr>
            </w:pPr>
          </w:p>
        </w:tc>
      </w:tr>
      <w:tr w14:paraId="6044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35DD7ABC">
            <w:pPr>
              <w:rPr>
                <w:rFonts w:eastAsiaTheme="minorEastAsia"/>
                <w:bCs/>
                <w:sz w:val="18"/>
                <w:szCs w:val="18"/>
              </w:rPr>
            </w:pPr>
            <w:r>
              <w:rPr>
                <w:rFonts w:eastAsiaTheme="minorEastAsia"/>
                <w:bCs/>
                <w:sz w:val="18"/>
                <w:szCs w:val="18"/>
              </w:rPr>
              <w:t>名称</w:t>
            </w:r>
          </w:p>
        </w:tc>
        <w:tc>
          <w:tcPr>
            <w:tcW w:w="4236" w:type="dxa"/>
          </w:tcPr>
          <w:p w14:paraId="0CBA4063">
            <w:pPr>
              <w:rPr>
                <w:rFonts w:eastAsiaTheme="minorEastAsia"/>
                <w:bCs/>
                <w:color w:val="000000"/>
                <w:kern w:val="0"/>
                <w:sz w:val="18"/>
                <w:szCs w:val="18"/>
              </w:rPr>
            </w:pPr>
          </w:p>
        </w:tc>
      </w:tr>
      <w:tr w14:paraId="26A1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4B217804">
            <w:pPr>
              <w:rPr>
                <w:rFonts w:eastAsiaTheme="minorEastAsia"/>
                <w:bCs/>
                <w:sz w:val="18"/>
                <w:szCs w:val="18"/>
              </w:rPr>
            </w:pPr>
            <w:r>
              <w:rPr>
                <w:rFonts w:eastAsiaTheme="minorEastAsia"/>
                <w:bCs/>
                <w:sz w:val="18"/>
                <w:szCs w:val="18"/>
              </w:rPr>
              <w:t>接收通道数</w:t>
            </w:r>
          </w:p>
        </w:tc>
        <w:tc>
          <w:tcPr>
            <w:tcW w:w="4236" w:type="dxa"/>
          </w:tcPr>
          <w:p w14:paraId="5E05FC01">
            <w:pPr>
              <w:rPr>
                <w:rFonts w:eastAsiaTheme="minorEastAsia"/>
                <w:bCs/>
                <w:color w:val="000000"/>
                <w:kern w:val="0"/>
                <w:sz w:val="18"/>
                <w:szCs w:val="18"/>
              </w:rPr>
            </w:pPr>
          </w:p>
        </w:tc>
      </w:tr>
      <w:tr w14:paraId="2083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22C26811">
            <w:pPr>
              <w:rPr>
                <w:rFonts w:eastAsiaTheme="minorEastAsia"/>
                <w:bCs/>
                <w:sz w:val="18"/>
                <w:szCs w:val="18"/>
              </w:rPr>
            </w:pPr>
            <w:r>
              <w:rPr>
                <w:rFonts w:eastAsiaTheme="minorEastAsia"/>
                <w:bCs/>
                <w:sz w:val="18"/>
                <w:szCs w:val="18"/>
              </w:rPr>
              <w:t>尺寸</w:t>
            </w:r>
          </w:p>
        </w:tc>
        <w:tc>
          <w:tcPr>
            <w:tcW w:w="4236" w:type="dxa"/>
          </w:tcPr>
          <w:p w14:paraId="171F22B4">
            <w:pPr>
              <w:rPr>
                <w:rFonts w:eastAsiaTheme="minorEastAsia"/>
                <w:bCs/>
                <w:color w:val="000000"/>
                <w:kern w:val="0"/>
                <w:sz w:val="18"/>
                <w:szCs w:val="18"/>
              </w:rPr>
            </w:pPr>
            <w:r>
              <w:rPr>
                <w:rFonts w:eastAsiaTheme="minorEastAsia"/>
                <w:bCs/>
                <w:color w:val="000000"/>
                <w:kern w:val="0"/>
                <w:sz w:val="18"/>
                <w:szCs w:val="18"/>
              </w:rPr>
              <w:t>d（x,y,z）, mm</w:t>
            </w:r>
          </w:p>
        </w:tc>
      </w:tr>
      <w:tr w14:paraId="5104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14:paraId="5FBC2C86">
            <w:pPr>
              <w:jc w:val="center"/>
              <w:rPr>
                <w:rFonts w:eastAsiaTheme="minorEastAsia"/>
                <w:bCs/>
                <w:color w:val="000000"/>
                <w:kern w:val="0"/>
                <w:sz w:val="18"/>
                <w:szCs w:val="18"/>
              </w:rPr>
            </w:pPr>
            <w:r>
              <w:rPr>
                <w:rFonts w:eastAsiaTheme="minorEastAsia"/>
                <w:bCs/>
                <w:color w:val="000000"/>
                <w:kern w:val="0"/>
                <w:sz w:val="18"/>
                <w:szCs w:val="18"/>
              </w:rPr>
              <w:t>测试模具</w:t>
            </w:r>
          </w:p>
        </w:tc>
      </w:tr>
      <w:tr w14:paraId="4218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45ED733F">
            <w:pPr>
              <w:rPr>
                <w:rFonts w:eastAsiaTheme="minorEastAsia"/>
                <w:bCs/>
                <w:sz w:val="18"/>
                <w:szCs w:val="18"/>
              </w:rPr>
            </w:pPr>
            <w:r>
              <w:rPr>
                <w:rFonts w:eastAsiaTheme="minorEastAsia"/>
                <w:bCs/>
                <w:sz w:val="18"/>
                <w:szCs w:val="18"/>
              </w:rPr>
              <w:t>填充物材料描述</w:t>
            </w:r>
          </w:p>
        </w:tc>
        <w:tc>
          <w:tcPr>
            <w:tcW w:w="4236" w:type="dxa"/>
          </w:tcPr>
          <w:p w14:paraId="416B07D6">
            <w:pPr>
              <w:rPr>
                <w:rFonts w:eastAsiaTheme="minorEastAsia"/>
                <w:bCs/>
                <w:color w:val="000000"/>
                <w:kern w:val="0"/>
                <w:sz w:val="18"/>
                <w:szCs w:val="18"/>
              </w:rPr>
            </w:pPr>
          </w:p>
        </w:tc>
      </w:tr>
      <w:tr w14:paraId="363090D8">
        <w:tblPrEx>
          <w:tblCellMar>
            <w:top w:w="0" w:type="dxa"/>
            <w:left w:w="108" w:type="dxa"/>
            <w:bottom w:w="0" w:type="dxa"/>
            <w:right w:w="108" w:type="dxa"/>
          </w:tblCellMar>
        </w:tblPrEx>
        <w:tc>
          <w:tcPr>
            <w:tcW w:w="4264" w:type="dxa"/>
            <w:gridSpan w:val="2"/>
            <w:vAlign w:val="center"/>
          </w:tcPr>
          <w:p w14:paraId="3E733059">
            <w:pPr>
              <w:rPr>
                <w:rFonts w:eastAsiaTheme="minorEastAsia"/>
                <w:bCs/>
                <w:sz w:val="18"/>
                <w:szCs w:val="18"/>
              </w:rPr>
            </w:pPr>
            <w:r>
              <w:rPr>
                <w:rFonts w:eastAsiaTheme="minorEastAsia"/>
                <w:bCs/>
                <w:kern w:val="0"/>
                <w:sz w:val="18"/>
                <w:szCs w:val="18"/>
              </w:rPr>
              <w:t>填充物</w:t>
            </w:r>
            <w:r>
              <w:rPr>
                <w:rFonts w:eastAsiaTheme="minorEastAsia"/>
                <w:bCs/>
                <w:i/>
                <w:iCs/>
                <w:kern w:val="0"/>
                <w:sz w:val="18"/>
                <w:szCs w:val="18"/>
              </w:rPr>
              <w:t>T</w:t>
            </w:r>
            <w:r>
              <w:rPr>
                <w:rFonts w:eastAsiaTheme="minorEastAsia"/>
                <w:bCs/>
                <w:kern w:val="0"/>
                <w:sz w:val="18"/>
                <w:szCs w:val="18"/>
                <w:vertAlign w:val="subscript"/>
              </w:rPr>
              <w:t>1</w:t>
            </w:r>
          </w:p>
        </w:tc>
        <w:tc>
          <w:tcPr>
            <w:tcW w:w="4236" w:type="dxa"/>
            <w:vAlign w:val="center"/>
          </w:tcPr>
          <w:p w14:paraId="64128977">
            <w:pPr>
              <w:rPr>
                <w:rFonts w:eastAsiaTheme="minorEastAsia"/>
                <w:bCs/>
                <w:color w:val="000000"/>
                <w:kern w:val="0"/>
                <w:sz w:val="18"/>
                <w:szCs w:val="18"/>
              </w:rPr>
            </w:pPr>
            <w:r>
              <w:rPr>
                <w:rFonts w:eastAsiaTheme="minorEastAsia"/>
                <w:bCs/>
                <w:kern w:val="0"/>
                <w:sz w:val="18"/>
                <w:szCs w:val="18"/>
              </w:rPr>
              <w:t>ms</w:t>
            </w:r>
          </w:p>
        </w:tc>
      </w:tr>
      <w:tr w14:paraId="351B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vAlign w:val="center"/>
          </w:tcPr>
          <w:p w14:paraId="0031768E">
            <w:pPr>
              <w:rPr>
                <w:rFonts w:eastAsiaTheme="minorEastAsia"/>
                <w:bCs/>
                <w:sz w:val="18"/>
                <w:szCs w:val="18"/>
              </w:rPr>
            </w:pPr>
            <w:r>
              <w:rPr>
                <w:rFonts w:eastAsiaTheme="minorEastAsia"/>
                <w:bCs/>
                <w:kern w:val="0"/>
                <w:sz w:val="18"/>
                <w:szCs w:val="18"/>
              </w:rPr>
              <w:t>填充物</w:t>
            </w:r>
            <w:r>
              <w:rPr>
                <w:rFonts w:eastAsiaTheme="minorEastAsia"/>
                <w:bCs/>
                <w:i/>
                <w:iCs/>
                <w:kern w:val="0"/>
                <w:sz w:val="18"/>
                <w:szCs w:val="18"/>
              </w:rPr>
              <w:t>T</w:t>
            </w:r>
            <w:r>
              <w:rPr>
                <w:rFonts w:eastAsiaTheme="minorEastAsia"/>
                <w:bCs/>
                <w:kern w:val="0"/>
                <w:sz w:val="18"/>
                <w:szCs w:val="18"/>
                <w:vertAlign w:val="subscript"/>
              </w:rPr>
              <w:t>2</w:t>
            </w:r>
          </w:p>
        </w:tc>
        <w:tc>
          <w:tcPr>
            <w:tcW w:w="4236" w:type="dxa"/>
            <w:vAlign w:val="center"/>
          </w:tcPr>
          <w:p w14:paraId="049DCF06">
            <w:pPr>
              <w:rPr>
                <w:rFonts w:eastAsiaTheme="minorEastAsia"/>
                <w:bCs/>
                <w:color w:val="000000"/>
                <w:kern w:val="0"/>
                <w:sz w:val="18"/>
                <w:szCs w:val="18"/>
              </w:rPr>
            </w:pPr>
            <w:r>
              <w:rPr>
                <w:rFonts w:eastAsiaTheme="minorEastAsia"/>
                <w:bCs/>
                <w:kern w:val="0"/>
                <w:sz w:val="18"/>
                <w:szCs w:val="18"/>
              </w:rPr>
              <w:t>ms</w:t>
            </w:r>
          </w:p>
        </w:tc>
      </w:tr>
      <w:tr w14:paraId="3979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09196B77">
            <w:pPr>
              <w:rPr>
                <w:rFonts w:eastAsiaTheme="minorEastAsia"/>
                <w:bCs/>
                <w:sz w:val="18"/>
                <w:szCs w:val="18"/>
              </w:rPr>
            </w:pPr>
            <w:r>
              <w:rPr>
                <w:rFonts w:eastAsiaTheme="minorEastAsia"/>
                <w:bCs/>
                <w:sz w:val="18"/>
                <w:szCs w:val="18"/>
              </w:rPr>
              <w:t>填充物盐类型</w:t>
            </w:r>
          </w:p>
        </w:tc>
        <w:tc>
          <w:tcPr>
            <w:tcW w:w="4236" w:type="dxa"/>
          </w:tcPr>
          <w:p w14:paraId="2F3C5AEF">
            <w:pPr>
              <w:rPr>
                <w:rFonts w:eastAsiaTheme="minorEastAsia"/>
                <w:bCs/>
                <w:color w:val="000000"/>
                <w:kern w:val="0"/>
                <w:sz w:val="18"/>
                <w:szCs w:val="18"/>
              </w:rPr>
            </w:pPr>
            <w:r>
              <w:rPr>
                <w:rFonts w:eastAsiaTheme="minorEastAsia"/>
                <w:bCs/>
                <w:color w:val="000000"/>
                <w:kern w:val="0"/>
                <w:sz w:val="18"/>
                <w:szCs w:val="18"/>
              </w:rPr>
              <w:t>化学物名称</w:t>
            </w:r>
          </w:p>
        </w:tc>
      </w:tr>
      <w:tr w14:paraId="5D6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7BF814A0">
            <w:pPr>
              <w:rPr>
                <w:rFonts w:eastAsiaTheme="minorEastAsia"/>
                <w:bCs/>
                <w:sz w:val="18"/>
                <w:szCs w:val="18"/>
              </w:rPr>
            </w:pPr>
            <w:r>
              <w:rPr>
                <w:rFonts w:eastAsiaTheme="minorEastAsia"/>
                <w:bCs/>
                <w:sz w:val="18"/>
                <w:szCs w:val="18"/>
              </w:rPr>
              <w:t>填充物盐浓度</w:t>
            </w:r>
          </w:p>
        </w:tc>
        <w:tc>
          <w:tcPr>
            <w:tcW w:w="4236" w:type="dxa"/>
          </w:tcPr>
          <w:p w14:paraId="773C3F99">
            <w:pPr>
              <w:rPr>
                <w:rFonts w:eastAsiaTheme="minorEastAsia"/>
                <w:bCs/>
                <w:color w:val="000000"/>
                <w:kern w:val="0"/>
                <w:sz w:val="18"/>
                <w:szCs w:val="18"/>
              </w:rPr>
            </w:pPr>
            <w:r>
              <w:rPr>
                <w:rFonts w:eastAsiaTheme="minorEastAsia"/>
                <w:bCs/>
                <w:color w:val="000000"/>
                <w:kern w:val="0"/>
                <w:sz w:val="18"/>
                <w:szCs w:val="18"/>
              </w:rPr>
              <w:t>g/l</w:t>
            </w:r>
          </w:p>
        </w:tc>
      </w:tr>
      <w:tr w14:paraId="690B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657E890B">
            <w:pPr>
              <w:rPr>
                <w:rFonts w:eastAsiaTheme="minorEastAsia"/>
                <w:bCs/>
                <w:sz w:val="18"/>
                <w:szCs w:val="18"/>
              </w:rPr>
            </w:pPr>
            <w:r>
              <w:rPr>
                <w:rFonts w:eastAsiaTheme="minorEastAsia"/>
                <w:bCs/>
                <w:sz w:val="18"/>
                <w:szCs w:val="18"/>
              </w:rPr>
              <w:t>截面形状</w:t>
            </w:r>
          </w:p>
        </w:tc>
        <w:tc>
          <w:tcPr>
            <w:tcW w:w="4236" w:type="dxa"/>
          </w:tcPr>
          <w:p w14:paraId="425C468F">
            <w:pPr>
              <w:rPr>
                <w:rFonts w:eastAsiaTheme="minorEastAsia"/>
                <w:bCs/>
                <w:color w:val="000000"/>
                <w:kern w:val="0"/>
                <w:sz w:val="18"/>
                <w:szCs w:val="18"/>
              </w:rPr>
            </w:pPr>
            <w:r>
              <w:rPr>
                <w:rFonts w:eastAsiaTheme="minorEastAsia"/>
                <w:bCs/>
                <w:sz w:val="18"/>
                <w:szCs w:val="18"/>
              </w:rPr>
              <w:t>圆，椭圆，矩形，其他（指定）</w:t>
            </w:r>
          </w:p>
        </w:tc>
      </w:tr>
      <w:tr w14:paraId="1B8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01161A63">
            <w:pPr>
              <w:rPr>
                <w:rFonts w:eastAsiaTheme="minorEastAsia"/>
                <w:bCs/>
                <w:sz w:val="18"/>
                <w:szCs w:val="18"/>
              </w:rPr>
            </w:pPr>
            <w:r>
              <w:rPr>
                <w:rFonts w:eastAsiaTheme="minorEastAsia"/>
                <w:bCs/>
                <w:sz w:val="18"/>
                <w:szCs w:val="18"/>
              </w:rPr>
              <w:t>截面面积</w:t>
            </w:r>
          </w:p>
        </w:tc>
        <w:tc>
          <w:tcPr>
            <w:tcW w:w="4236" w:type="dxa"/>
          </w:tcPr>
          <w:p w14:paraId="47FEF871">
            <w:pPr>
              <w:rPr>
                <w:rFonts w:eastAsiaTheme="minorEastAsia"/>
                <w:bCs/>
                <w:color w:val="000000"/>
                <w:kern w:val="0"/>
                <w:sz w:val="18"/>
                <w:szCs w:val="18"/>
              </w:rPr>
            </w:pPr>
            <w:r>
              <w:rPr>
                <w:rFonts w:eastAsiaTheme="minorEastAsia"/>
                <w:bCs/>
                <w:color w:val="000000"/>
                <w:kern w:val="0"/>
                <w:sz w:val="18"/>
                <w:szCs w:val="18"/>
              </w:rPr>
              <w:t>mm2</w:t>
            </w:r>
          </w:p>
        </w:tc>
      </w:tr>
      <w:tr w14:paraId="1C3D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2FF8E56F">
            <w:pPr>
              <w:rPr>
                <w:rFonts w:eastAsiaTheme="minorEastAsia"/>
                <w:bCs/>
                <w:sz w:val="18"/>
                <w:szCs w:val="18"/>
              </w:rPr>
            </w:pPr>
            <w:r>
              <w:rPr>
                <w:rFonts w:eastAsiaTheme="minorEastAsia"/>
                <w:bCs/>
                <w:sz w:val="18"/>
                <w:szCs w:val="18"/>
              </w:rPr>
              <w:t>板厚</w:t>
            </w:r>
          </w:p>
        </w:tc>
        <w:tc>
          <w:tcPr>
            <w:tcW w:w="4236" w:type="dxa"/>
          </w:tcPr>
          <w:p w14:paraId="7A86B0E8">
            <w:pPr>
              <w:rPr>
                <w:rFonts w:eastAsiaTheme="minorEastAsia"/>
                <w:bCs/>
                <w:color w:val="000000"/>
                <w:kern w:val="0"/>
                <w:sz w:val="18"/>
                <w:szCs w:val="18"/>
              </w:rPr>
            </w:pPr>
            <w:r>
              <w:rPr>
                <w:rFonts w:eastAsiaTheme="minorEastAsia"/>
                <w:bCs/>
                <w:color w:val="000000"/>
                <w:kern w:val="0"/>
                <w:sz w:val="18"/>
                <w:szCs w:val="18"/>
              </w:rPr>
              <w:t>mm</w:t>
            </w:r>
          </w:p>
        </w:tc>
      </w:tr>
      <w:tr w14:paraId="4D9D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05813363">
            <w:pPr>
              <w:rPr>
                <w:rFonts w:eastAsiaTheme="minorEastAsia"/>
                <w:bCs/>
                <w:sz w:val="18"/>
                <w:szCs w:val="18"/>
              </w:rPr>
            </w:pPr>
            <w:r>
              <w:rPr>
                <w:rFonts w:eastAsiaTheme="minorEastAsia"/>
                <w:bCs/>
                <w:sz w:val="18"/>
                <w:szCs w:val="18"/>
              </w:rPr>
              <w:t>加载类型</w:t>
            </w:r>
          </w:p>
        </w:tc>
        <w:tc>
          <w:tcPr>
            <w:tcW w:w="4236" w:type="dxa"/>
          </w:tcPr>
          <w:p w14:paraId="489D178F">
            <w:pPr>
              <w:rPr>
                <w:rFonts w:eastAsiaTheme="minorEastAsia"/>
                <w:bCs/>
                <w:color w:val="000000"/>
                <w:kern w:val="0"/>
                <w:sz w:val="18"/>
                <w:szCs w:val="18"/>
              </w:rPr>
            </w:pPr>
            <w:r>
              <w:rPr>
                <w:rFonts w:eastAsiaTheme="minorEastAsia"/>
                <w:bCs/>
                <w:color w:val="000000"/>
                <w:kern w:val="0"/>
                <w:sz w:val="18"/>
                <w:szCs w:val="18"/>
              </w:rPr>
              <w:t>加载/未加载</w:t>
            </w:r>
          </w:p>
        </w:tc>
      </w:tr>
      <w:tr w14:paraId="6E7C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33BA2E36">
            <w:pPr>
              <w:rPr>
                <w:rFonts w:eastAsiaTheme="minorEastAsia"/>
                <w:bCs/>
                <w:sz w:val="18"/>
                <w:szCs w:val="18"/>
              </w:rPr>
            </w:pPr>
            <w:r>
              <w:rPr>
                <w:rFonts w:eastAsiaTheme="minorEastAsia"/>
                <w:bCs/>
                <w:sz w:val="18"/>
                <w:szCs w:val="18"/>
              </w:rPr>
              <w:t>尺寸，公差</w:t>
            </w:r>
          </w:p>
        </w:tc>
        <w:tc>
          <w:tcPr>
            <w:tcW w:w="4236" w:type="dxa"/>
          </w:tcPr>
          <w:p w14:paraId="088B9913">
            <w:pPr>
              <w:rPr>
                <w:rFonts w:eastAsiaTheme="minorEastAsia"/>
                <w:bCs/>
                <w:color w:val="000000"/>
                <w:kern w:val="0"/>
                <w:sz w:val="18"/>
                <w:szCs w:val="18"/>
              </w:rPr>
            </w:pPr>
          </w:p>
        </w:tc>
      </w:tr>
      <w:tr w14:paraId="7339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gridSpan w:val="2"/>
          </w:tcPr>
          <w:p w14:paraId="2A97FDBB">
            <w:pPr>
              <w:rPr>
                <w:rFonts w:eastAsiaTheme="minorEastAsia"/>
                <w:bCs/>
                <w:sz w:val="18"/>
                <w:szCs w:val="18"/>
              </w:rPr>
            </w:pPr>
            <w:r>
              <w:rPr>
                <w:rFonts w:eastAsiaTheme="minorEastAsia"/>
                <w:bCs/>
                <w:sz w:val="18"/>
                <w:szCs w:val="18"/>
              </w:rPr>
              <w:t>相对于等中心的相对位置</w:t>
            </w:r>
          </w:p>
        </w:tc>
        <w:tc>
          <w:tcPr>
            <w:tcW w:w="4236" w:type="dxa"/>
          </w:tcPr>
          <w:p w14:paraId="23EDC208">
            <w:pPr>
              <w:rPr>
                <w:rFonts w:eastAsiaTheme="minorEastAsia"/>
                <w:bCs/>
                <w:color w:val="000000"/>
                <w:kern w:val="0"/>
                <w:sz w:val="18"/>
                <w:szCs w:val="18"/>
              </w:rPr>
            </w:pPr>
            <w:r>
              <w:rPr>
                <w:rFonts w:eastAsiaTheme="minorEastAsia"/>
                <w:bCs/>
                <w:color w:val="000000"/>
                <w:kern w:val="0"/>
                <w:sz w:val="18"/>
                <w:szCs w:val="18"/>
              </w:rPr>
              <w:t>(x,y,z), mm  (</w:t>
            </w:r>
            <w:r>
              <w:rPr>
                <w:rFonts w:eastAsiaTheme="minorEastAsia"/>
                <w:bCs/>
                <w:color w:val="000000"/>
                <w:kern w:val="0"/>
                <w:sz w:val="18"/>
                <w:szCs w:val="18"/>
                <w:lang w:val="zh-CN"/>
              </w:rPr>
              <w:t>上下,左右 ，前后</w:t>
            </w:r>
            <w:r>
              <w:rPr>
                <w:rFonts w:eastAsiaTheme="minorEastAsia"/>
                <w:bCs/>
                <w:color w:val="000000"/>
                <w:kern w:val="0"/>
                <w:sz w:val="18"/>
                <w:szCs w:val="18"/>
              </w:rPr>
              <w:t>), 倾斜</w:t>
            </w:r>
          </w:p>
        </w:tc>
      </w:tr>
      <w:tr w14:paraId="4996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vAlign w:val="center"/>
          </w:tcPr>
          <w:p w14:paraId="69219D22">
            <w:pPr>
              <w:jc w:val="center"/>
              <w:rPr>
                <w:rFonts w:eastAsiaTheme="minorEastAsia"/>
                <w:bCs/>
                <w:sz w:val="18"/>
                <w:szCs w:val="18"/>
              </w:rPr>
            </w:pPr>
            <w:r>
              <w:t>采集参数</w:t>
            </w:r>
          </w:p>
        </w:tc>
      </w:tr>
      <w:tr w14:paraId="6CD1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76DA007D">
            <w:pPr>
              <w:rPr>
                <w:rFonts w:eastAsiaTheme="minorEastAsia"/>
                <w:bCs/>
                <w:sz w:val="18"/>
                <w:szCs w:val="18"/>
              </w:rPr>
            </w:pPr>
            <w:r>
              <w:rPr>
                <w:rFonts w:eastAsiaTheme="minorEastAsia"/>
                <w:bCs/>
                <w:sz w:val="18"/>
                <w:szCs w:val="18"/>
              </w:rPr>
              <w:t>参数</w:t>
            </w:r>
          </w:p>
        </w:tc>
        <w:tc>
          <w:tcPr>
            <w:tcW w:w="4249" w:type="dxa"/>
            <w:gridSpan w:val="2"/>
          </w:tcPr>
          <w:p w14:paraId="2451AFC7">
            <w:pPr>
              <w:rPr>
                <w:rFonts w:eastAsiaTheme="minorEastAsia"/>
                <w:bCs/>
                <w:sz w:val="18"/>
                <w:szCs w:val="18"/>
              </w:rPr>
            </w:pPr>
            <w:r>
              <w:rPr>
                <w:rFonts w:eastAsiaTheme="minorEastAsia"/>
                <w:bCs/>
                <w:sz w:val="18"/>
                <w:szCs w:val="18"/>
              </w:rPr>
              <w:t>均匀性</w:t>
            </w:r>
          </w:p>
        </w:tc>
      </w:tr>
      <w:tr w14:paraId="0FB2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2D34494A">
            <w:pPr>
              <w:rPr>
                <w:rFonts w:eastAsiaTheme="minorEastAsia"/>
                <w:bCs/>
                <w:sz w:val="18"/>
                <w:szCs w:val="18"/>
              </w:rPr>
            </w:pPr>
            <w:r>
              <w:rPr>
                <w:rFonts w:eastAsiaTheme="minorEastAsia"/>
                <w:bCs/>
                <w:sz w:val="18"/>
                <w:szCs w:val="18"/>
              </w:rPr>
              <w:t>患者进入方式</w:t>
            </w:r>
          </w:p>
        </w:tc>
        <w:tc>
          <w:tcPr>
            <w:tcW w:w="4249" w:type="dxa"/>
            <w:gridSpan w:val="2"/>
          </w:tcPr>
          <w:p w14:paraId="49EC7785">
            <w:pPr>
              <w:rPr>
                <w:rFonts w:eastAsiaTheme="minorEastAsia"/>
                <w:bCs/>
                <w:sz w:val="18"/>
                <w:szCs w:val="18"/>
              </w:rPr>
            </w:pPr>
            <w:r>
              <w:rPr>
                <w:rFonts w:eastAsiaTheme="minorEastAsia"/>
                <w:bCs/>
                <w:sz w:val="18"/>
                <w:szCs w:val="18"/>
              </w:rPr>
              <w:t>头先进</w:t>
            </w:r>
          </w:p>
        </w:tc>
      </w:tr>
      <w:tr w14:paraId="2872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3C077D81">
            <w:pPr>
              <w:rPr>
                <w:rFonts w:eastAsiaTheme="minorEastAsia"/>
                <w:bCs/>
                <w:sz w:val="18"/>
                <w:szCs w:val="18"/>
              </w:rPr>
            </w:pPr>
            <w:r>
              <w:rPr>
                <w:rFonts w:eastAsiaTheme="minorEastAsia"/>
                <w:bCs/>
                <w:sz w:val="18"/>
                <w:szCs w:val="18"/>
              </w:rPr>
              <w:t>患者体位</w:t>
            </w:r>
          </w:p>
        </w:tc>
        <w:tc>
          <w:tcPr>
            <w:tcW w:w="4249" w:type="dxa"/>
            <w:gridSpan w:val="2"/>
          </w:tcPr>
          <w:p w14:paraId="06669515">
            <w:pPr>
              <w:rPr>
                <w:rFonts w:eastAsiaTheme="minorEastAsia"/>
                <w:bCs/>
                <w:sz w:val="18"/>
                <w:szCs w:val="18"/>
              </w:rPr>
            </w:pPr>
            <w:r>
              <w:rPr>
                <w:rFonts w:eastAsiaTheme="minorEastAsia"/>
                <w:bCs/>
                <w:sz w:val="18"/>
                <w:szCs w:val="18"/>
              </w:rPr>
              <w:t>仰卧</w:t>
            </w:r>
          </w:p>
        </w:tc>
      </w:tr>
      <w:tr w14:paraId="69A2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3A0D1308">
            <w:pPr>
              <w:rPr>
                <w:rFonts w:eastAsiaTheme="minorEastAsia"/>
                <w:bCs/>
                <w:sz w:val="18"/>
                <w:szCs w:val="18"/>
              </w:rPr>
            </w:pPr>
            <w:r>
              <w:rPr>
                <w:rFonts w:eastAsiaTheme="minorEastAsia"/>
                <w:bCs/>
                <w:sz w:val="18"/>
                <w:szCs w:val="18"/>
              </w:rPr>
              <w:t>患者体重</w:t>
            </w:r>
          </w:p>
        </w:tc>
        <w:tc>
          <w:tcPr>
            <w:tcW w:w="4249" w:type="dxa"/>
            <w:gridSpan w:val="2"/>
          </w:tcPr>
          <w:p w14:paraId="229FDB05">
            <w:pPr>
              <w:rPr>
                <w:rFonts w:eastAsiaTheme="minorEastAsia"/>
                <w:bCs/>
                <w:sz w:val="18"/>
                <w:szCs w:val="18"/>
              </w:rPr>
            </w:pPr>
          </w:p>
        </w:tc>
      </w:tr>
      <w:tr w14:paraId="7406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0C1B70EC">
            <w:pPr>
              <w:rPr>
                <w:rFonts w:eastAsiaTheme="minorEastAsia"/>
                <w:bCs/>
                <w:sz w:val="18"/>
                <w:szCs w:val="18"/>
              </w:rPr>
            </w:pPr>
            <w:r>
              <w:rPr>
                <w:rFonts w:eastAsiaTheme="minorEastAsia"/>
                <w:bCs/>
                <w:sz w:val="18"/>
                <w:szCs w:val="18"/>
              </w:rPr>
              <w:t>成像模式</w:t>
            </w:r>
          </w:p>
        </w:tc>
        <w:tc>
          <w:tcPr>
            <w:tcW w:w="4249" w:type="dxa"/>
            <w:gridSpan w:val="2"/>
          </w:tcPr>
          <w:p w14:paraId="13C7D36C">
            <w:pPr>
              <w:rPr>
                <w:rFonts w:eastAsiaTheme="minorEastAsia"/>
                <w:bCs/>
                <w:sz w:val="18"/>
                <w:szCs w:val="18"/>
              </w:rPr>
            </w:pPr>
            <w:r>
              <w:rPr>
                <w:rFonts w:eastAsiaTheme="minorEastAsia"/>
                <w:bCs/>
                <w:sz w:val="18"/>
                <w:szCs w:val="18"/>
              </w:rPr>
              <w:t>2D</w:t>
            </w:r>
          </w:p>
        </w:tc>
      </w:tr>
      <w:tr w14:paraId="4192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51" w:type="dxa"/>
          </w:tcPr>
          <w:p w14:paraId="3970A1B4">
            <w:pPr>
              <w:rPr>
                <w:rFonts w:eastAsiaTheme="minorEastAsia"/>
                <w:bCs/>
                <w:sz w:val="18"/>
                <w:szCs w:val="18"/>
              </w:rPr>
            </w:pPr>
            <w:r>
              <w:rPr>
                <w:rFonts w:eastAsiaTheme="minorEastAsia"/>
                <w:bCs/>
                <w:sz w:val="18"/>
                <w:szCs w:val="18"/>
              </w:rPr>
              <w:t>脉冲序列</w:t>
            </w:r>
          </w:p>
        </w:tc>
        <w:tc>
          <w:tcPr>
            <w:tcW w:w="4249" w:type="dxa"/>
            <w:gridSpan w:val="2"/>
          </w:tcPr>
          <w:p w14:paraId="30F852EE">
            <w:pPr>
              <w:rPr>
                <w:rFonts w:eastAsiaTheme="minorEastAsia"/>
                <w:bCs/>
                <w:sz w:val="18"/>
                <w:szCs w:val="18"/>
              </w:rPr>
            </w:pPr>
            <w:r>
              <w:rPr>
                <w:rFonts w:eastAsiaTheme="minorEastAsia"/>
                <w:bCs/>
                <w:sz w:val="18"/>
                <w:szCs w:val="18"/>
              </w:rPr>
              <w:t>SE</w:t>
            </w:r>
            <w:r>
              <w:rPr>
                <w:rFonts w:hint="eastAsia" w:eastAsiaTheme="minorEastAsia"/>
                <w:bCs/>
                <w:sz w:val="18"/>
                <w:szCs w:val="18"/>
              </w:rPr>
              <w:t>或FSE或典型临床序列</w:t>
            </w:r>
          </w:p>
        </w:tc>
      </w:tr>
      <w:tr w14:paraId="1ED3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20F2FE44">
            <w:pPr>
              <w:rPr>
                <w:rFonts w:eastAsiaTheme="minorEastAsia"/>
                <w:bCs/>
                <w:sz w:val="18"/>
                <w:szCs w:val="18"/>
              </w:rPr>
            </w:pPr>
            <w:r>
              <w:rPr>
                <w:rFonts w:eastAsiaTheme="minorEastAsia"/>
                <w:bCs/>
                <w:sz w:val="18"/>
                <w:szCs w:val="18"/>
              </w:rPr>
              <w:t>层面</w:t>
            </w:r>
          </w:p>
        </w:tc>
        <w:tc>
          <w:tcPr>
            <w:tcW w:w="4249" w:type="dxa"/>
            <w:gridSpan w:val="2"/>
          </w:tcPr>
          <w:p w14:paraId="25112C0E">
            <w:pPr>
              <w:rPr>
                <w:rFonts w:eastAsiaTheme="minorEastAsia"/>
                <w:bCs/>
                <w:sz w:val="18"/>
                <w:szCs w:val="18"/>
              </w:rPr>
            </w:pPr>
            <w:r>
              <w:rPr>
                <w:rFonts w:eastAsiaTheme="minorEastAsia"/>
                <w:bCs/>
                <w:sz w:val="18"/>
                <w:szCs w:val="18"/>
              </w:rPr>
              <w:t>横断面、矢状面、冠状面</w:t>
            </w:r>
          </w:p>
        </w:tc>
      </w:tr>
      <w:tr w14:paraId="1DC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3FA4F842">
            <w:pPr>
              <w:rPr>
                <w:rFonts w:eastAsiaTheme="minorEastAsia"/>
                <w:bCs/>
                <w:sz w:val="18"/>
                <w:szCs w:val="18"/>
              </w:rPr>
            </w:pPr>
            <w:r>
              <w:rPr>
                <w:rFonts w:eastAsiaTheme="minorEastAsia"/>
                <w:bCs/>
                <w:sz w:val="18"/>
                <w:szCs w:val="18"/>
              </w:rPr>
              <w:t>频率编码FOV（mm）</w:t>
            </w:r>
          </w:p>
        </w:tc>
        <w:tc>
          <w:tcPr>
            <w:tcW w:w="4249" w:type="dxa"/>
            <w:gridSpan w:val="2"/>
          </w:tcPr>
          <w:p w14:paraId="36D4D392">
            <w:pPr>
              <w:rPr>
                <w:rFonts w:eastAsiaTheme="minorEastAsia"/>
                <w:bCs/>
                <w:sz w:val="18"/>
                <w:szCs w:val="18"/>
              </w:rPr>
            </w:pPr>
          </w:p>
        </w:tc>
      </w:tr>
      <w:tr w14:paraId="79E4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347A5241">
            <w:pPr>
              <w:rPr>
                <w:rFonts w:eastAsiaTheme="minorEastAsia"/>
                <w:bCs/>
                <w:sz w:val="18"/>
                <w:szCs w:val="18"/>
              </w:rPr>
            </w:pPr>
            <w:r>
              <w:rPr>
                <w:rFonts w:eastAsiaTheme="minorEastAsia"/>
                <w:bCs/>
                <w:sz w:val="18"/>
                <w:szCs w:val="18"/>
              </w:rPr>
              <w:t>相位编码FOV（mm）</w:t>
            </w:r>
          </w:p>
        </w:tc>
        <w:tc>
          <w:tcPr>
            <w:tcW w:w="4249" w:type="dxa"/>
            <w:gridSpan w:val="2"/>
          </w:tcPr>
          <w:p w14:paraId="53B24A99">
            <w:pPr>
              <w:rPr>
                <w:rFonts w:eastAsiaTheme="minorEastAsia"/>
                <w:bCs/>
                <w:sz w:val="18"/>
                <w:szCs w:val="18"/>
              </w:rPr>
            </w:pPr>
          </w:p>
        </w:tc>
      </w:tr>
      <w:tr w14:paraId="1D0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567D8C4C">
            <w:pPr>
              <w:rPr>
                <w:rFonts w:eastAsiaTheme="minorEastAsia"/>
                <w:bCs/>
                <w:sz w:val="18"/>
                <w:szCs w:val="18"/>
              </w:rPr>
            </w:pPr>
            <w:r>
              <w:rPr>
                <w:rFonts w:eastAsiaTheme="minorEastAsia"/>
                <w:bCs/>
                <w:sz w:val="18"/>
                <w:szCs w:val="18"/>
              </w:rPr>
              <w:t>片层数</w:t>
            </w:r>
          </w:p>
        </w:tc>
        <w:tc>
          <w:tcPr>
            <w:tcW w:w="4249" w:type="dxa"/>
            <w:gridSpan w:val="2"/>
          </w:tcPr>
          <w:p w14:paraId="297C3506">
            <w:pPr>
              <w:rPr>
                <w:rFonts w:eastAsiaTheme="minorEastAsia"/>
                <w:bCs/>
                <w:sz w:val="18"/>
                <w:szCs w:val="18"/>
              </w:rPr>
            </w:pPr>
            <w:r>
              <w:rPr>
                <w:rFonts w:eastAsiaTheme="minorEastAsia"/>
                <w:bCs/>
                <w:sz w:val="18"/>
                <w:szCs w:val="18"/>
              </w:rPr>
              <w:t>1</w:t>
            </w:r>
          </w:p>
        </w:tc>
      </w:tr>
      <w:tr w14:paraId="23F7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4813A6EE">
            <w:pPr>
              <w:rPr>
                <w:rFonts w:eastAsiaTheme="minorEastAsia"/>
                <w:bCs/>
                <w:sz w:val="18"/>
                <w:szCs w:val="18"/>
              </w:rPr>
            </w:pPr>
            <w:r>
              <w:rPr>
                <w:rFonts w:eastAsiaTheme="minorEastAsia"/>
                <w:bCs/>
                <w:sz w:val="18"/>
                <w:szCs w:val="18"/>
              </w:rPr>
              <w:t>层厚（mm）</w:t>
            </w:r>
          </w:p>
        </w:tc>
        <w:tc>
          <w:tcPr>
            <w:tcW w:w="4249" w:type="dxa"/>
            <w:gridSpan w:val="2"/>
          </w:tcPr>
          <w:p w14:paraId="34F7DD77">
            <w:pPr>
              <w:rPr>
                <w:rFonts w:eastAsiaTheme="minorEastAsia"/>
                <w:bCs/>
                <w:sz w:val="18"/>
                <w:szCs w:val="18"/>
              </w:rPr>
            </w:pPr>
            <w:r>
              <w:rPr>
                <w:rFonts w:eastAsiaTheme="minorEastAsia"/>
                <w:bCs/>
                <w:sz w:val="18"/>
                <w:szCs w:val="18"/>
              </w:rPr>
              <w:t>5</w:t>
            </w:r>
          </w:p>
        </w:tc>
      </w:tr>
      <w:tr w14:paraId="1801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7A1A2609">
            <w:pPr>
              <w:rPr>
                <w:rFonts w:eastAsiaTheme="minorEastAsia"/>
                <w:bCs/>
                <w:sz w:val="18"/>
                <w:szCs w:val="18"/>
              </w:rPr>
            </w:pPr>
            <w:r>
              <w:rPr>
                <w:rFonts w:eastAsiaTheme="minorEastAsia"/>
                <w:bCs/>
                <w:sz w:val="18"/>
                <w:szCs w:val="18"/>
              </w:rPr>
              <w:t>中心片层位置</w:t>
            </w:r>
          </w:p>
        </w:tc>
        <w:tc>
          <w:tcPr>
            <w:tcW w:w="4249" w:type="dxa"/>
            <w:gridSpan w:val="2"/>
          </w:tcPr>
          <w:p w14:paraId="58322D51">
            <w:pPr>
              <w:rPr>
                <w:rFonts w:eastAsiaTheme="minorEastAsia"/>
                <w:bCs/>
                <w:sz w:val="18"/>
                <w:szCs w:val="18"/>
              </w:rPr>
            </w:pPr>
            <w:r>
              <w:rPr>
                <w:rFonts w:eastAsiaTheme="minorEastAsia"/>
                <w:bCs/>
                <w:sz w:val="18"/>
                <w:szCs w:val="18"/>
              </w:rPr>
              <w:t>(</w:t>
            </w:r>
            <w:r>
              <w:rPr>
                <w:rFonts w:eastAsiaTheme="minorEastAsia"/>
                <w:bCs/>
                <w:color w:val="000000"/>
                <w:kern w:val="0"/>
                <w:sz w:val="18"/>
                <w:szCs w:val="18"/>
                <w:lang w:val="zh-CN"/>
              </w:rPr>
              <w:t>上下</w:t>
            </w:r>
            <w:r>
              <w:rPr>
                <w:rFonts w:eastAsiaTheme="minorEastAsia"/>
                <w:bCs/>
                <w:color w:val="000000"/>
                <w:kern w:val="0"/>
                <w:sz w:val="18"/>
                <w:szCs w:val="18"/>
              </w:rPr>
              <w:t>,</w:t>
            </w:r>
            <w:r>
              <w:rPr>
                <w:rFonts w:eastAsiaTheme="minorEastAsia"/>
                <w:bCs/>
                <w:color w:val="000000"/>
                <w:kern w:val="0"/>
                <w:sz w:val="18"/>
                <w:szCs w:val="18"/>
                <w:lang w:val="zh-CN"/>
              </w:rPr>
              <w:t>左右</w:t>
            </w:r>
            <w:r>
              <w:rPr>
                <w:rFonts w:eastAsiaTheme="minorEastAsia"/>
                <w:bCs/>
                <w:color w:val="000000"/>
                <w:kern w:val="0"/>
                <w:sz w:val="18"/>
                <w:szCs w:val="18"/>
              </w:rPr>
              <w:t xml:space="preserve"> </w:t>
            </w:r>
            <w:r>
              <w:rPr>
                <w:rFonts w:eastAsiaTheme="minorEastAsia"/>
                <w:bCs/>
                <w:color w:val="000000"/>
                <w:kern w:val="0"/>
                <w:sz w:val="18"/>
                <w:szCs w:val="18"/>
                <w:lang w:val="zh-CN"/>
              </w:rPr>
              <w:t>或前后</w:t>
            </w:r>
            <w:r>
              <w:rPr>
                <w:rFonts w:eastAsiaTheme="minorEastAsia"/>
                <w:bCs/>
                <w:sz w:val="18"/>
                <w:szCs w:val="18"/>
              </w:rPr>
              <w:t>)</w:t>
            </w:r>
            <w:r>
              <w:rPr>
                <w:rFonts w:eastAsiaTheme="minorEastAsia"/>
                <w:bCs/>
                <w:color w:val="000000"/>
                <w:kern w:val="0"/>
                <w:sz w:val="18"/>
                <w:szCs w:val="18"/>
              </w:rPr>
              <w:t xml:space="preserve"> 相对于等中心或者参考位置</w:t>
            </w:r>
            <w:r>
              <w:rPr>
                <w:rFonts w:eastAsiaTheme="minorEastAsia"/>
                <w:bCs/>
                <w:sz w:val="18"/>
                <w:szCs w:val="18"/>
              </w:rPr>
              <w:t>±30mm</w:t>
            </w:r>
          </w:p>
        </w:tc>
      </w:tr>
      <w:tr w14:paraId="5B16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06180339">
            <w:pPr>
              <w:rPr>
                <w:rFonts w:eastAsiaTheme="minorEastAsia"/>
                <w:bCs/>
                <w:sz w:val="18"/>
                <w:szCs w:val="18"/>
              </w:rPr>
            </w:pPr>
            <w:r>
              <w:rPr>
                <w:rFonts w:eastAsiaTheme="minorEastAsia"/>
                <w:bCs/>
                <w:sz w:val="18"/>
                <w:szCs w:val="18"/>
              </w:rPr>
              <w:t>FOV中心坐标</w:t>
            </w:r>
          </w:p>
        </w:tc>
        <w:tc>
          <w:tcPr>
            <w:tcW w:w="4249" w:type="dxa"/>
            <w:gridSpan w:val="2"/>
          </w:tcPr>
          <w:p w14:paraId="624062AB">
            <w:pPr>
              <w:rPr>
                <w:rFonts w:eastAsiaTheme="minorEastAsia"/>
                <w:bCs/>
                <w:sz w:val="18"/>
                <w:szCs w:val="18"/>
              </w:rPr>
            </w:pPr>
            <w:r>
              <w:rPr>
                <w:rFonts w:eastAsiaTheme="minorEastAsia"/>
                <w:bCs/>
                <w:kern w:val="0"/>
                <w:sz w:val="18"/>
                <w:szCs w:val="18"/>
              </w:rPr>
              <w:t>mm (</w:t>
            </w:r>
            <w:r>
              <w:rPr>
                <w:rFonts w:eastAsiaTheme="minorEastAsia"/>
                <w:bCs/>
                <w:color w:val="000000"/>
                <w:kern w:val="0"/>
                <w:sz w:val="18"/>
                <w:szCs w:val="18"/>
                <w:lang w:val="zh-CN"/>
              </w:rPr>
              <w:t>上下,左右或前后</w:t>
            </w:r>
            <w:r>
              <w:rPr>
                <w:rFonts w:eastAsiaTheme="minorEastAsia"/>
                <w:bCs/>
                <w:kern w:val="0"/>
                <w:sz w:val="18"/>
                <w:szCs w:val="18"/>
              </w:rPr>
              <w:t>)</w:t>
            </w:r>
          </w:p>
        </w:tc>
      </w:tr>
      <w:tr w14:paraId="0797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7BCE9618">
            <w:pPr>
              <w:rPr>
                <w:rFonts w:eastAsiaTheme="minorEastAsia"/>
                <w:bCs/>
                <w:sz w:val="18"/>
                <w:szCs w:val="18"/>
              </w:rPr>
            </w:pPr>
            <w:r>
              <w:rPr>
                <w:rFonts w:eastAsiaTheme="minorEastAsia"/>
                <w:bCs/>
                <w:sz w:val="18"/>
                <w:szCs w:val="18"/>
              </w:rPr>
              <w:t>相位编码方向</w:t>
            </w:r>
          </w:p>
        </w:tc>
        <w:tc>
          <w:tcPr>
            <w:tcW w:w="4249" w:type="dxa"/>
            <w:gridSpan w:val="2"/>
          </w:tcPr>
          <w:p w14:paraId="3F610204">
            <w:pPr>
              <w:rPr>
                <w:rFonts w:eastAsiaTheme="minorEastAsia"/>
                <w:bCs/>
                <w:sz w:val="18"/>
                <w:szCs w:val="18"/>
              </w:rPr>
            </w:pPr>
            <w:r>
              <w:rPr>
                <w:rFonts w:eastAsiaTheme="minorEastAsia"/>
                <w:bCs/>
                <w:color w:val="000000"/>
                <w:kern w:val="0"/>
                <w:sz w:val="18"/>
                <w:szCs w:val="18"/>
                <w:lang w:val="zh-CN"/>
              </w:rPr>
              <w:t>上下,左右，前后</w:t>
            </w:r>
          </w:p>
        </w:tc>
      </w:tr>
      <w:tr w14:paraId="2906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4E5260AD">
            <w:pPr>
              <w:rPr>
                <w:rFonts w:eastAsiaTheme="minorEastAsia"/>
                <w:bCs/>
                <w:sz w:val="18"/>
                <w:szCs w:val="18"/>
              </w:rPr>
            </w:pPr>
            <w:r>
              <w:rPr>
                <w:rFonts w:eastAsiaTheme="minorEastAsia"/>
                <w:bCs/>
                <w:sz w:val="18"/>
                <w:szCs w:val="18"/>
              </w:rPr>
              <w:t>TR（ms）</w:t>
            </w:r>
          </w:p>
        </w:tc>
        <w:tc>
          <w:tcPr>
            <w:tcW w:w="4249" w:type="dxa"/>
            <w:gridSpan w:val="2"/>
          </w:tcPr>
          <w:p w14:paraId="4953A5A3">
            <w:pPr>
              <w:rPr>
                <w:rFonts w:eastAsiaTheme="minorEastAsia"/>
                <w:bCs/>
                <w:sz w:val="18"/>
                <w:szCs w:val="18"/>
              </w:rPr>
            </w:pPr>
            <w:r>
              <w:rPr>
                <w:rFonts w:eastAsiaTheme="minorEastAsia"/>
                <w:bCs/>
                <w:color w:val="000000"/>
                <w:kern w:val="0"/>
                <w:sz w:val="18"/>
                <w:szCs w:val="18"/>
              </w:rPr>
              <w:t>&gt;3*T</w:t>
            </w:r>
            <w:r>
              <w:rPr>
                <w:rFonts w:eastAsiaTheme="minorEastAsia"/>
                <w:bCs/>
                <w:color w:val="000000"/>
                <w:kern w:val="0"/>
                <w:sz w:val="18"/>
                <w:szCs w:val="18"/>
                <w:vertAlign w:val="subscript"/>
              </w:rPr>
              <w:t>1</w:t>
            </w:r>
          </w:p>
        </w:tc>
      </w:tr>
      <w:tr w14:paraId="76E4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70089297">
            <w:pPr>
              <w:rPr>
                <w:rFonts w:eastAsiaTheme="minorEastAsia"/>
                <w:bCs/>
                <w:sz w:val="18"/>
                <w:szCs w:val="18"/>
              </w:rPr>
            </w:pPr>
            <w:r>
              <w:rPr>
                <w:rFonts w:eastAsiaTheme="minorEastAsia"/>
                <w:bCs/>
                <w:sz w:val="18"/>
                <w:szCs w:val="18"/>
              </w:rPr>
              <w:t>TE（ms）</w:t>
            </w:r>
          </w:p>
        </w:tc>
        <w:tc>
          <w:tcPr>
            <w:tcW w:w="4249" w:type="dxa"/>
            <w:gridSpan w:val="2"/>
          </w:tcPr>
          <w:p w14:paraId="13EC9A34">
            <w:pPr>
              <w:rPr>
                <w:rFonts w:eastAsiaTheme="minorEastAsia"/>
                <w:bCs/>
                <w:sz w:val="18"/>
                <w:szCs w:val="18"/>
              </w:rPr>
            </w:pPr>
            <w:r>
              <w:rPr>
                <w:rFonts w:eastAsiaTheme="minorEastAsia"/>
                <w:bCs/>
                <w:color w:val="000000"/>
                <w:kern w:val="0"/>
                <w:sz w:val="18"/>
                <w:szCs w:val="18"/>
              </w:rPr>
              <w:t>30 或者&lt;T</w:t>
            </w:r>
            <w:r>
              <w:rPr>
                <w:rFonts w:eastAsiaTheme="minorEastAsia"/>
                <w:bCs/>
                <w:color w:val="000000"/>
                <w:kern w:val="0"/>
                <w:sz w:val="18"/>
                <w:szCs w:val="18"/>
                <w:vertAlign w:val="subscript"/>
              </w:rPr>
              <w:t>2</w:t>
            </w:r>
            <w:r>
              <w:rPr>
                <w:rFonts w:eastAsiaTheme="minorEastAsia"/>
                <w:bCs/>
                <w:color w:val="000000"/>
                <w:kern w:val="0"/>
                <w:sz w:val="18"/>
                <w:szCs w:val="18"/>
              </w:rPr>
              <w:t>/3</w:t>
            </w:r>
          </w:p>
        </w:tc>
      </w:tr>
      <w:tr w14:paraId="2200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251" w:type="dxa"/>
          </w:tcPr>
          <w:p w14:paraId="34449CFF">
            <w:pPr>
              <w:rPr>
                <w:rFonts w:eastAsiaTheme="minorEastAsia"/>
                <w:bCs/>
                <w:sz w:val="18"/>
                <w:szCs w:val="18"/>
              </w:rPr>
            </w:pPr>
            <w:r>
              <w:rPr>
                <w:rFonts w:eastAsiaTheme="minorEastAsia"/>
                <w:bCs/>
                <w:sz w:val="18"/>
                <w:szCs w:val="18"/>
              </w:rPr>
              <w:t>回波数</w:t>
            </w:r>
          </w:p>
        </w:tc>
        <w:tc>
          <w:tcPr>
            <w:tcW w:w="4249" w:type="dxa"/>
            <w:gridSpan w:val="2"/>
          </w:tcPr>
          <w:p w14:paraId="4747A134">
            <w:pPr>
              <w:rPr>
                <w:rFonts w:eastAsiaTheme="minorEastAsia"/>
                <w:bCs/>
                <w:sz w:val="18"/>
                <w:szCs w:val="18"/>
              </w:rPr>
            </w:pPr>
            <w:r>
              <w:rPr>
                <w:rFonts w:eastAsiaTheme="minorEastAsia"/>
                <w:bCs/>
                <w:sz w:val="18"/>
                <w:szCs w:val="18"/>
              </w:rPr>
              <w:t>1</w:t>
            </w:r>
          </w:p>
        </w:tc>
      </w:tr>
      <w:tr w14:paraId="7E48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78350A75">
            <w:pPr>
              <w:rPr>
                <w:rFonts w:eastAsiaTheme="minorEastAsia"/>
                <w:bCs/>
                <w:sz w:val="18"/>
                <w:szCs w:val="18"/>
              </w:rPr>
            </w:pPr>
            <w:r>
              <w:rPr>
                <w:rFonts w:eastAsiaTheme="minorEastAsia"/>
                <w:bCs/>
                <w:sz w:val="18"/>
                <w:szCs w:val="18"/>
              </w:rPr>
              <w:t>采集矩阵（频率编码）</w:t>
            </w:r>
          </w:p>
        </w:tc>
        <w:tc>
          <w:tcPr>
            <w:tcW w:w="4249" w:type="dxa"/>
            <w:gridSpan w:val="2"/>
          </w:tcPr>
          <w:p w14:paraId="25DF302E">
            <w:pPr>
              <w:rPr>
                <w:rFonts w:eastAsiaTheme="minorEastAsia"/>
                <w:bCs/>
                <w:sz w:val="18"/>
                <w:szCs w:val="18"/>
              </w:rPr>
            </w:pPr>
            <w:r>
              <w:rPr>
                <w:rFonts w:eastAsiaTheme="minorEastAsia"/>
                <w:bCs/>
                <w:sz w:val="18"/>
                <w:szCs w:val="18"/>
              </w:rPr>
              <w:t>256</w:t>
            </w:r>
          </w:p>
        </w:tc>
      </w:tr>
      <w:tr w14:paraId="62B8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2CB3E802">
            <w:pPr>
              <w:rPr>
                <w:rFonts w:eastAsiaTheme="minorEastAsia"/>
                <w:bCs/>
                <w:sz w:val="18"/>
                <w:szCs w:val="18"/>
              </w:rPr>
            </w:pPr>
            <w:r>
              <w:rPr>
                <w:rFonts w:eastAsiaTheme="minorEastAsia"/>
                <w:bCs/>
                <w:sz w:val="18"/>
                <w:szCs w:val="18"/>
              </w:rPr>
              <w:t>采集矩阵（相位编码）</w:t>
            </w:r>
          </w:p>
        </w:tc>
        <w:tc>
          <w:tcPr>
            <w:tcW w:w="4249" w:type="dxa"/>
            <w:gridSpan w:val="2"/>
          </w:tcPr>
          <w:p w14:paraId="0CD85817">
            <w:pPr>
              <w:rPr>
                <w:rFonts w:eastAsiaTheme="minorEastAsia"/>
                <w:bCs/>
                <w:sz w:val="18"/>
                <w:szCs w:val="18"/>
              </w:rPr>
            </w:pPr>
            <w:r>
              <w:rPr>
                <w:rFonts w:eastAsiaTheme="minorEastAsia"/>
                <w:bCs/>
                <w:sz w:val="18"/>
                <w:szCs w:val="18"/>
              </w:rPr>
              <w:t>256</w:t>
            </w:r>
          </w:p>
        </w:tc>
      </w:tr>
      <w:tr w14:paraId="1FA6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4E0F5286">
            <w:pPr>
              <w:rPr>
                <w:rFonts w:eastAsiaTheme="minorEastAsia"/>
                <w:bCs/>
                <w:sz w:val="18"/>
                <w:szCs w:val="18"/>
              </w:rPr>
            </w:pPr>
            <w:r>
              <w:rPr>
                <w:rFonts w:eastAsiaTheme="minorEastAsia"/>
                <w:bCs/>
                <w:sz w:val="18"/>
                <w:szCs w:val="18"/>
              </w:rPr>
              <w:t>平均次数</w:t>
            </w:r>
          </w:p>
        </w:tc>
        <w:tc>
          <w:tcPr>
            <w:tcW w:w="4249" w:type="dxa"/>
            <w:gridSpan w:val="2"/>
          </w:tcPr>
          <w:p w14:paraId="3CDDAF9A">
            <w:pPr>
              <w:rPr>
                <w:rFonts w:eastAsiaTheme="minorEastAsia"/>
                <w:bCs/>
                <w:sz w:val="18"/>
                <w:szCs w:val="18"/>
              </w:rPr>
            </w:pPr>
            <w:r>
              <w:rPr>
                <w:rFonts w:hint="eastAsia" w:eastAsiaTheme="minorEastAsia"/>
                <w:bCs/>
                <w:sz w:val="18"/>
                <w:szCs w:val="18"/>
              </w:rPr>
              <w:t>或其他典型临床平均次数</w:t>
            </w:r>
          </w:p>
        </w:tc>
      </w:tr>
      <w:tr w14:paraId="3CF1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52A4654F">
            <w:pPr>
              <w:rPr>
                <w:rFonts w:eastAsiaTheme="minorEastAsia"/>
                <w:bCs/>
                <w:sz w:val="18"/>
                <w:szCs w:val="18"/>
              </w:rPr>
            </w:pPr>
            <w:r>
              <w:rPr>
                <w:rFonts w:eastAsiaTheme="minorEastAsia"/>
                <w:bCs/>
                <w:sz w:val="18"/>
                <w:szCs w:val="18"/>
              </w:rPr>
              <w:t>像素带宽（</w:t>
            </w:r>
            <w:r>
              <w:rPr>
                <w:rFonts w:eastAsiaTheme="minorEastAsia"/>
                <w:bCs/>
                <w:kern w:val="0"/>
                <w:sz w:val="18"/>
                <w:szCs w:val="18"/>
              </w:rPr>
              <w:t>Hz/像素</w:t>
            </w:r>
            <w:r>
              <w:rPr>
                <w:rFonts w:eastAsiaTheme="minorEastAsia"/>
                <w:bCs/>
                <w:sz w:val="18"/>
                <w:szCs w:val="18"/>
              </w:rPr>
              <w:t>）</w:t>
            </w:r>
          </w:p>
        </w:tc>
        <w:tc>
          <w:tcPr>
            <w:tcW w:w="4249" w:type="dxa"/>
            <w:gridSpan w:val="2"/>
          </w:tcPr>
          <w:p w14:paraId="07CF7613">
            <w:pPr>
              <w:rPr>
                <w:rFonts w:eastAsiaTheme="minorEastAsia"/>
                <w:bCs/>
                <w:sz w:val="18"/>
                <w:szCs w:val="18"/>
              </w:rPr>
            </w:pPr>
            <w:r>
              <w:rPr>
                <w:rFonts w:eastAsiaTheme="minorEastAsia"/>
                <w:bCs/>
                <w:sz w:val="18"/>
                <w:szCs w:val="18"/>
              </w:rPr>
              <w:t>临床典型</w:t>
            </w:r>
          </w:p>
        </w:tc>
      </w:tr>
      <w:tr w14:paraId="373A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11FE5A45">
            <w:pPr>
              <w:rPr>
                <w:rFonts w:eastAsiaTheme="minorEastAsia"/>
                <w:bCs/>
                <w:sz w:val="18"/>
                <w:szCs w:val="18"/>
              </w:rPr>
            </w:pPr>
            <w:r>
              <w:rPr>
                <w:rFonts w:eastAsiaTheme="minorEastAsia"/>
                <w:bCs/>
                <w:sz w:val="18"/>
                <w:szCs w:val="18"/>
              </w:rPr>
              <w:t>相位过采样因子</w:t>
            </w:r>
          </w:p>
          <w:p w14:paraId="65D9CADA">
            <w:pPr>
              <w:rPr>
                <w:rFonts w:eastAsiaTheme="minorEastAsia"/>
                <w:bCs/>
                <w:sz w:val="18"/>
                <w:szCs w:val="18"/>
              </w:rPr>
            </w:pPr>
            <w:r>
              <w:rPr>
                <w:rFonts w:eastAsiaTheme="minorEastAsia"/>
                <w:bCs/>
                <w:sz w:val="18"/>
                <w:szCs w:val="18"/>
              </w:rPr>
              <w:t>（1=无过采样）</w:t>
            </w:r>
          </w:p>
        </w:tc>
        <w:tc>
          <w:tcPr>
            <w:tcW w:w="4249" w:type="dxa"/>
            <w:gridSpan w:val="2"/>
          </w:tcPr>
          <w:p w14:paraId="6F47F977">
            <w:pPr>
              <w:rPr>
                <w:rFonts w:eastAsiaTheme="minorEastAsia"/>
                <w:bCs/>
                <w:sz w:val="18"/>
                <w:szCs w:val="18"/>
              </w:rPr>
            </w:pPr>
            <w:r>
              <w:rPr>
                <w:rFonts w:eastAsiaTheme="minorEastAsia"/>
                <w:bCs/>
                <w:sz w:val="18"/>
                <w:szCs w:val="18"/>
              </w:rPr>
              <w:t>1</w:t>
            </w:r>
          </w:p>
        </w:tc>
      </w:tr>
      <w:tr w14:paraId="042B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4F3B590B">
            <w:pPr>
              <w:rPr>
                <w:rFonts w:eastAsiaTheme="minorEastAsia"/>
                <w:bCs/>
                <w:sz w:val="18"/>
                <w:szCs w:val="18"/>
              </w:rPr>
            </w:pPr>
            <w:r>
              <w:rPr>
                <w:rFonts w:eastAsiaTheme="minorEastAsia"/>
                <w:bCs/>
                <w:sz w:val="18"/>
                <w:szCs w:val="18"/>
              </w:rPr>
              <w:t>几何畸变校正</w:t>
            </w:r>
          </w:p>
        </w:tc>
        <w:tc>
          <w:tcPr>
            <w:tcW w:w="4249" w:type="dxa"/>
            <w:gridSpan w:val="2"/>
          </w:tcPr>
          <w:p w14:paraId="32D3D8A8">
            <w:pPr>
              <w:rPr>
                <w:rFonts w:eastAsiaTheme="minorEastAsia"/>
                <w:bCs/>
                <w:sz w:val="18"/>
                <w:szCs w:val="18"/>
              </w:rPr>
            </w:pPr>
            <w:r>
              <w:rPr>
                <w:rFonts w:eastAsiaTheme="minorEastAsia"/>
                <w:bCs/>
                <w:color w:val="000000"/>
                <w:kern w:val="0"/>
                <w:sz w:val="18"/>
                <w:szCs w:val="18"/>
              </w:rPr>
              <w:t>若适用，On/off, 类型(2D,3D)</w:t>
            </w:r>
          </w:p>
        </w:tc>
      </w:tr>
      <w:tr w14:paraId="41B2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13F9BF53">
            <w:pPr>
              <w:rPr>
                <w:rFonts w:eastAsiaTheme="minorEastAsia"/>
                <w:bCs/>
                <w:sz w:val="18"/>
                <w:szCs w:val="18"/>
              </w:rPr>
            </w:pPr>
            <w:r>
              <w:rPr>
                <w:rFonts w:eastAsiaTheme="minorEastAsia"/>
                <w:bCs/>
                <w:sz w:val="18"/>
                <w:szCs w:val="18"/>
              </w:rPr>
              <w:t>平滑/边缘增强</w:t>
            </w:r>
          </w:p>
        </w:tc>
        <w:tc>
          <w:tcPr>
            <w:tcW w:w="4249" w:type="dxa"/>
            <w:gridSpan w:val="2"/>
          </w:tcPr>
          <w:p w14:paraId="6F2D8E1E">
            <w:pPr>
              <w:rPr>
                <w:rFonts w:eastAsiaTheme="minorEastAsia"/>
                <w:bCs/>
                <w:sz w:val="18"/>
                <w:szCs w:val="18"/>
              </w:rPr>
            </w:pPr>
            <w:r>
              <w:rPr>
                <w:rFonts w:eastAsiaTheme="minorEastAsia"/>
                <w:bCs/>
                <w:color w:val="000000"/>
                <w:kern w:val="0"/>
                <w:sz w:val="18"/>
                <w:szCs w:val="18"/>
              </w:rPr>
              <w:t>若适用，标识: on, off</w:t>
            </w:r>
          </w:p>
        </w:tc>
      </w:tr>
      <w:tr w14:paraId="65AA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67987B80">
            <w:pPr>
              <w:rPr>
                <w:rFonts w:eastAsiaTheme="minorEastAsia"/>
                <w:bCs/>
                <w:sz w:val="18"/>
                <w:szCs w:val="18"/>
              </w:rPr>
            </w:pPr>
            <w:r>
              <w:rPr>
                <w:rFonts w:eastAsiaTheme="minorEastAsia"/>
                <w:bCs/>
                <w:sz w:val="18"/>
                <w:szCs w:val="18"/>
              </w:rPr>
              <w:t>均匀性/阴影校正</w:t>
            </w:r>
          </w:p>
        </w:tc>
        <w:tc>
          <w:tcPr>
            <w:tcW w:w="4249" w:type="dxa"/>
            <w:gridSpan w:val="2"/>
          </w:tcPr>
          <w:p w14:paraId="5FC6B8C3">
            <w:pPr>
              <w:rPr>
                <w:rFonts w:eastAsiaTheme="minorEastAsia"/>
                <w:bCs/>
                <w:sz w:val="18"/>
                <w:szCs w:val="18"/>
              </w:rPr>
            </w:pPr>
            <w:r>
              <w:rPr>
                <w:rFonts w:eastAsiaTheme="minorEastAsia"/>
                <w:bCs/>
                <w:color w:val="000000"/>
                <w:kern w:val="0"/>
                <w:sz w:val="18"/>
                <w:szCs w:val="18"/>
              </w:rPr>
              <w:t>若适用，标识: on, off</w:t>
            </w:r>
          </w:p>
        </w:tc>
      </w:tr>
      <w:tr w14:paraId="01A3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14:paraId="6A58971A">
            <w:pPr>
              <w:rPr>
                <w:rFonts w:eastAsiaTheme="minorEastAsia"/>
                <w:bCs/>
                <w:sz w:val="18"/>
                <w:szCs w:val="18"/>
              </w:rPr>
            </w:pPr>
            <w:r>
              <w:rPr>
                <w:rFonts w:eastAsiaTheme="minorEastAsia"/>
                <w:bCs/>
                <w:sz w:val="18"/>
                <w:szCs w:val="18"/>
              </w:rPr>
              <w:t>附加滤波</w:t>
            </w:r>
          </w:p>
        </w:tc>
        <w:tc>
          <w:tcPr>
            <w:tcW w:w="4249" w:type="dxa"/>
            <w:gridSpan w:val="2"/>
          </w:tcPr>
          <w:p w14:paraId="63A9BC26">
            <w:pPr>
              <w:rPr>
                <w:rFonts w:eastAsiaTheme="minorEastAsia"/>
                <w:bCs/>
                <w:sz w:val="18"/>
                <w:szCs w:val="18"/>
              </w:rPr>
            </w:pPr>
            <w:r>
              <w:rPr>
                <w:rFonts w:eastAsiaTheme="minorEastAsia"/>
                <w:bCs/>
                <w:color w:val="000000"/>
                <w:kern w:val="0"/>
                <w:sz w:val="18"/>
                <w:szCs w:val="18"/>
              </w:rPr>
              <w:t>若适用，标识: on, off</w:t>
            </w:r>
          </w:p>
        </w:tc>
      </w:tr>
      <w:tr w14:paraId="23C7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3"/>
            <w:vAlign w:val="center"/>
          </w:tcPr>
          <w:p w14:paraId="00A3B79C">
            <w:pPr>
              <w:autoSpaceDE w:val="0"/>
              <w:autoSpaceDN w:val="0"/>
              <w:adjustRightInd w:val="0"/>
              <w:jc w:val="center"/>
              <w:rPr>
                <w:rFonts w:eastAsia="黑体"/>
                <w:kern w:val="0"/>
                <w:sz w:val="18"/>
                <w:szCs w:val="18"/>
              </w:rPr>
            </w:pPr>
            <w:r>
              <w:rPr>
                <w:rFonts w:eastAsiaTheme="minorEastAsia"/>
                <w:bCs/>
              </w:rPr>
              <w:t>均匀性结果报告</w:t>
            </w:r>
          </w:p>
        </w:tc>
      </w:tr>
      <w:tr w14:paraId="53E9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391F74AC">
            <w:pPr>
              <w:autoSpaceDE w:val="0"/>
              <w:autoSpaceDN w:val="0"/>
              <w:adjustRightInd w:val="0"/>
              <w:ind w:firstLine="540" w:firstLineChars="300"/>
              <w:jc w:val="center"/>
              <w:rPr>
                <w:rFonts w:eastAsiaTheme="minorEastAsia"/>
                <w:kern w:val="0"/>
                <w:sz w:val="18"/>
                <w:szCs w:val="18"/>
              </w:rPr>
            </w:pPr>
            <w:r>
              <w:rPr>
                <w:rFonts w:eastAsiaTheme="minorEastAsia"/>
                <w:kern w:val="0"/>
                <w:sz w:val="18"/>
                <w:szCs w:val="18"/>
              </w:rPr>
              <w:t>参数</w:t>
            </w:r>
          </w:p>
        </w:tc>
        <w:tc>
          <w:tcPr>
            <w:tcW w:w="4252" w:type="dxa"/>
            <w:gridSpan w:val="2"/>
            <w:vAlign w:val="center"/>
          </w:tcPr>
          <w:p w14:paraId="06CBCFA4">
            <w:pPr>
              <w:autoSpaceDE w:val="0"/>
              <w:autoSpaceDN w:val="0"/>
              <w:adjustRightInd w:val="0"/>
              <w:jc w:val="center"/>
              <w:rPr>
                <w:rFonts w:eastAsiaTheme="minorEastAsia"/>
                <w:kern w:val="0"/>
                <w:sz w:val="18"/>
                <w:szCs w:val="18"/>
              </w:rPr>
            </w:pPr>
            <w:r>
              <w:rPr>
                <w:rFonts w:eastAsiaTheme="minorEastAsia"/>
                <w:kern w:val="0"/>
                <w:sz w:val="18"/>
                <w:szCs w:val="18"/>
              </w:rPr>
              <w:t>值/单位</w:t>
            </w:r>
          </w:p>
        </w:tc>
      </w:tr>
      <w:tr w14:paraId="0D6C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40386E88">
            <w:pPr>
              <w:autoSpaceDE w:val="0"/>
              <w:autoSpaceDN w:val="0"/>
              <w:adjustRightInd w:val="0"/>
              <w:ind w:leftChars="-1" w:hanging="1" w:hangingChars="1"/>
              <w:rPr>
                <w:kern w:val="0"/>
                <w:sz w:val="18"/>
                <w:szCs w:val="18"/>
              </w:rPr>
            </w:pPr>
            <w:r>
              <w:rPr>
                <w:kern w:val="0"/>
                <w:sz w:val="18"/>
                <w:szCs w:val="18"/>
              </w:rPr>
              <w:t>扫描剖面方向</w:t>
            </w:r>
          </w:p>
        </w:tc>
        <w:tc>
          <w:tcPr>
            <w:tcW w:w="4252" w:type="dxa"/>
            <w:gridSpan w:val="2"/>
            <w:vAlign w:val="center"/>
          </w:tcPr>
          <w:p w14:paraId="4FF537D7">
            <w:pPr>
              <w:autoSpaceDE w:val="0"/>
              <w:autoSpaceDN w:val="0"/>
              <w:adjustRightInd w:val="0"/>
              <w:rPr>
                <w:kern w:val="0"/>
                <w:sz w:val="18"/>
                <w:szCs w:val="18"/>
              </w:rPr>
            </w:pPr>
          </w:p>
        </w:tc>
      </w:tr>
      <w:tr w14:paraId="04F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03E920B9">
            <w:pPr>
              <w:autoSpaceDE w:val="0"/>
              <w:autoSpaceDN w:val="0"/>
              <w:adjustRightInd w:val="0"/>
              <w:ind w:leftChars="-1" w:hanging="1" w:hangingChars="1"/>
              <w:rPr>
                <w:kern w:val="0"/>
                <w:sz w:val="18"/>
                <w:szCs w:val="18"/>
              </w:rPr>
            </w:pPr>
            <w:r>
              <w:rPr>
                <w:kern w:val="0"/>
                <w:sz w:val="18"/>
                <w:szCs w:val="18"/>
              </w:rPr>
              <w:t>相位编码方向</w:t>
            </w:r>
          </w:p>
        </w:tc>
        <w:tc>
          <w:tcPr>
            <w:tcW w:w="4252" w:type="dxa"/>
            <w:gridSpan w:val="2"/>
            <w:vAlign w:val="center"/>
          </w:tcPr>
          <w:p w14:paraId="2198FBAD">
            <w:pPr>
              <w:autoSpaceDE w:val="0"/>
              <w:autoSpaceDN w:val="0"/>
              <w:adjustRightInd w:val="0"/>
              <w:rPr>
                <w:kern w:val="0"/>
                <w:sz w:val="18"/>
                <w:szCs w:val="18"/>
              </w:rPr>
            </w:pPr>
          </w:p>
        </w:tc>
      </w:tr>
      <w:tr w14:paraId="1723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4E7DD018">
            <w:pPr>
              <w:autoSpaceDE w:val="0"/>
              <w:autoSpaceDN w:val="0"/>
              <w:adjustRightInd w:val="0"/>
              <w:ind w:leftChars="-1" w:hanging="1" w:hangingChars="1"/>
              <w:rPr>
                <w:kern w:val="0"/>
                <w:sz w:val="18"/>
                <w:szCs w:val="18"/>
              </w:rPr>
            </w:pPr>
            <w:r>
              <w:rPr>
                <w:kern w:val="0"/>
                <w:sz w:val="18"/>
                <w:szCs w:val="18"/>
              </w:rPr>
              <w:t>ROI形状</w:t>
            </w:r>
          </w:p>
        </w:tc>
        <w:tc>
          <w:tcPr>
            <w:tcW w:w="4252" w:type="dxa"/>
            <w:gridSpan w:val="2"/>
            <w:vAlign w:val="center"/>
          </w:tcPr>
          <w:p w14:paraId="4BA514FD">
            <w:pPr>
              <w:autoSpaceDE w:val="0"/>
              <w:autoSpaceDN w:val="0"/>
              <w:adjustRightInd w:val="0"/>
              <w:rPr>
                <w:kern w:val="0"/>
                <w:sz w:val="18"/>
                <w:szCs w:val="18"/>
              </w:rPr>
            </w:pPr>
          </w:p>
        </w:tc>
      </w:tr>
      <w:tr w14:paraId="2601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38A1E341">
            <w:pPr>
              <w:autoSpaceDE w:val="0"/>
              <w:autoSpaceDN w:val="0"/>
              <w:adjustRightInd w:val="0"/>
              <w:ind w:leftChars="-1" w:hanging="1" w:hangingChars="1"/>
              <w:rPr>
                <w:kern w:val="0"/>
                <w:sz w:val="18"/>
                <w:szCs w:val="18"/>
              </w:rPr>
            </w:pPr>
            <w:r>
              <w:rPr>
                <w:kern w:val="0"/>
                <w:sz w:val="18"/>
                <w:szCs w:val="18"/>
              </w:rPr>
              <w:t>ROI尺寸（mm²）</w:t>
            </w:r>
          </w:p>
        </w:tc>
        <w:tc>
          <w:tcPr>
            <w:tcW w:w="4252" w:type="dxa"/>
            <w:gridSpan w:val="2"/>
            <w:vAlign w:val="center"/>
          </w:tcPr>
          <w:p w14:paraId="35981246">
            <w:pPr>
              <w:autoSpaceDE w:val="0"/>
              <w:autoSpaceDN w:val="0"/>
              <w:adjustRightInd w:val="0"/>
              <w:rPr>
                <w:kern w:val="0"/>
                <w:sz w:val="18"/>
                <w:szCs w:val="18"/>
              </w:rPr>
            </w:pPr>
          </w:p>
        </w:tc>
      </w:tr>
      <w:tr w14:paraId="49D3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3176A261">
            <w:pPr>
              <w:autoSpaceDE w:val="0"/>
              <w:autoSpaceDN w:val="0"/>
              <w:adjustRightInd w:val="0"/>
              <w:ind w:leftChars="-1" w:hanging="1" w:hangingChars="1"/>
              <w:rPr>
                <w:kern w:val="0"/>
                <w:sz w:val="18"/>
                <w:szCs w:val="18"/>
              </w:rPr>
            </w:pPr>
            <w:r>
              <w:rPr>
                <w:kern w:val="0"/>
                <w:sz w:val="18"/>
                <w:szCs w:val="18"/>
              </w:rPr>
              <w:t>参考位置</w:t>
            </w:r>
          </w:p>
        </w:tc>
        <w:tc>
          <w:tcPr>
            <w:tcW w:w="4252" w:type="dxa"/>
            <w:gridSpan w:val="2"/>
            <w:vAlign w:val="center"/>
          </w:tcPr>
          <w:p w14:paraId="2F401E35">
            <w:pPr>
              <w:autoSpaceDE w:val="0"/>
              <w:autoSpaceDN w:val="0"/>
              <w:adjustRightInd w:val="0"/>
              <w:rPr>
                <w:kern w:val="0"/>
                <w:sz w:val="18"/>
                <w:szCs w:val="18"/>
              </w:rPr>
            </w:pPr>
          </w:p>
        </w:tc>
      </w:tr>
      <w:tr w14:paraId="6DFE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58F5DA9F">
            <w:pPr>
              <w:autoSpaceDE w:val="0"/>
              <w:autoSpaceDN w:val="0"/>
              <w:adjustRightInd w:val="0"/>
              <w:ind w:leftChars="-1" w:hanging="1" w:hangingChars="1"/>
              <w:rPr>
                <w:kern w:val="0"/>
                <w:sz w:val="18"/>
                <w:szCs w:val="18"/>
              </w:rPr>
            </w:pPr>
            <w:r>
              <w:rPr>
                <w:kern w:val="0"/>
                <w:sz w:val="18"/>
                <w:szCs w:val="18"/>
              </w:rPr>
              <w:t>ROI占规范区域面百分比</w:t>
            </w:r>
          </w:p>
        </w:tc>
        <w:tc>
          <w:tcPr>
            <w:tcW w:w="4252" w:type="dxa"/>
            <w:gridSpan w:val="2"/>
            <w:vAlign w:val="center"/>
          </w:tcPr>
          <w:p w14:paraId="6AD0F973">
            <w:pPr>
              <w:autoSpaceDE w:val="0"/>
              <w:autoSpaceDN w:val="0"/>
              <w:adjustRightInd w:val="0"/>
              <w:rPr>
                <w:kern w:val="0"/>
                <w:sz w:val="18"/>
                <w:szCs w:val="18"/>
              </w:rPr>
            </w:pPr>
          </w:p>
        </w:tc>
      </w:tr>
      <w:tr w14:paraId="6C1D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5BB38324">
            <w:pPr>
              <w:autoSpaceDE w:val="0"/>
              <w:autoSpaceDN w:val="0"/>
              <w:adjustRightInd w:val="0"/>
              <w:ind w:leftChars="-1" w:hanging="1" w:hangingChars="1"/>
              <w:rPr>
                <w:kern w:val="0"/>
                <w:sz w:val="18"/>
                <w:szCs w:val="18"/>
              </w:rPr>
            </w:pPr>
            <w:r>
              <w:rPr>
                <w:kern w:val="0"/>
                <w:sz w:val="18"/>
                <w:szCs w:val="18"/>
              </w:rPr>
              <w:t>均匀性U或者非均匀性NU</w:t>
            </w:r>
          </w:p>
        </w:tc>
        <w:tc>
          <w:tcPr>
            <w:tcW w:w="4252" w:type="dxa"/>
            <w:gridSpan w:val="2"/>
            <w:vAlign w:val="center"/>
          </w:tcPr>
          <w:p w14:paraId="10BADF83">
            <w:pPr>
              <w:autoSpaceDE w:val="0"/>
              <w:autoSpaceDN w:val="0"/>
              <w:adjustRightInd w:val="0"/>
              <w:rPr>
                <w:kern w:val="0"/>
                <w:sz w:val="18"/>
                <w:szCs w:val="18"/>
              </w:rPr>
            </w:pPr>
          </w:p>
        </w:tc>
      </w:tr>
    </w:tbl>
    <w:p w14:paraId="416987EA">
      <w:pPr>
        <w:pStyle w:val="43"/>
        <w:ind w:left="0"/>
        <w:rPr>
          <w:rFonts w:ascii="Times New Roman"/>
        </w:rPr>
      </w:pPr>
      <w:bookmarkStart w:id="59" w:name="_Toc194414628"/>
      <w:bookmarkStart w:id="60" w:name="_Toc194414629"/>
      <w:r>
        <w:rPr>
          <w:rFonts w:ascii="Times New Roman"/>
        </w:rPr>
        <w:t>兼容性</w:t>
      </w:r>
      <w:bookmarkEnd w:id="59"/>
    </w:p>
    <w:p w14:paraId="7A0E065F">
      <w:pPr>
        <w:pStyle w:val="47"/>
        <w:spacing w:before="156" w:after="156"/>
        <w:ind w:left="0"/>
      </w:pPr>
      <w:r>
        <w:rPr>
          <w:rFonts w:hint="eastAsia"/>
        </w:rPr>
        <w:t>试验条件</w:t>
      </w:r>
    </w:p>
    <w:p w14:paraId="04013B9C">
      <w:pPr>
        <w:pStyle w:val="23"/>
      </w:pPr>
      <w:r>
        <w:rPr>
          <w:rFonts w:hint="eastAsia"/>
        </w:rPr>
        <w:t>设备按照说明书规定的使用环境条件进行测试，如温度：25℃±5℃；相对湿度：30%~70%</w:t>
      </w:r>
    </w:p>
    <w:p w14:paraId="69C05BC3">
      <w:pPr>
        <w:pStyle w:val="47"/>
        <w:spacing w:before="156" w:after="156"/>
        <w:ind w:left="0"/>
      </w:pPr>
      <w:r>
        <w:rPr>
          <w:rFonts w:hint="eastAsia"/>
        </w:rPr>
        <w:t>仪器设备</w:t>
      </w:r>
    </w:p>
    <w:p w14:paraId="6107C4DA">
      <w:pPr>
        <w:pStyle w:val="23"/>
      </w:pPr>
      <w:r>
        <w:rPr>
          <w:rFonts w:hint="eastAsia"/>
        </w:rPr>
        <w:t>见4.2.2和4.3.2</w:t>
      </w:r>
    </w:p>
    <w:p w14:paraId="1A857ABF">
      <w:pPr>
        <w:pStyle w:val="47"/>
        <w:spacing w:before="156" w:after="156"/>
        <w:ind w:left="0"/>
        <w:rPr>
          <w:rFonts w:hint="eastAsia"/>
        </w:rPr>
      </w:pPr>
      <w:r>
        <w:rPr>
          <w:rFonts w:hint="eastAsia"/>
        </w:rPr>
        <w:t>试验方法</w:t>
      </w:r>
    </w:p>
    <w:p w14:paraId="088FEEBB">
      <w:pPr>
        <w:pStyle w:val="23"/>
        <w:rPr>
          <w:rFonts w:ascii="Times New Roman"/>
        </w:rPr>
      </w:pPr>
      <w:r>
        <w:rPr>
          <w:rFonts w:ascii="Times New Roman"/>
        </w:rPr>
        <w:t>移动装置的磁共振兼容性包括移动设备对磁共振设备的干扰和磁共振设备对移动装置的干扰。</w:t>
      </w:r>
    </w:p>
    <w:p w14:paraId="14C643CB">
      <w:pPr>
        <w:pStyle w:val="56"/>
        <w:numPr>
          <w:ilvl w:val="3"/>
          <w:numId w:val="2"/>
        </w:numPr>
        <w:spacing w:before="156" w:after="156"/>
        <w:rPr>
          <w:rFonts w:ascii="Times New Roman"/>
        </w:rPr>
      </w:pPr>
      <w:r>
        <w:rPr>
          <w:rFonts w:ascii="Times New Roman"/>
        </w:rPr>
        <w:t>移动装置对磁共振设备的干扰</w:t>
      </w:r>
    </w:p>
    <w:p w14:paraId="15237DA5">
      <w:pPr>
        <w:pStyle w:val="23"/>
        <w:ind w:left="780" w:firstLine="0" w:firstLineChars="0"/>
        <w:rPr>
          <w:rFonts w:ascii="Times New Roman"/>
        </w:rPr>
      </w:pPr>
      <w:r>
        <w:rPr>
          <w:rFonts w:ascii="Times New Roman"/>
        </w:rPr>
        <w:t>按照4.3.1和4.3.2的方法，分别测量移动装置工作状态和非工作状态下的信噪比和均匀性，并进行比较。</w:t>
      </w:r>
    </w:p>
    <w:p w14:paraId="0D97CD94">
      <w:pPr>
        <w:pStyle w:val="56"/>
        <w:numPr>
          <w:ilvl w:val="3"/>
          <w:numId w:val="2"/>
        </w:numPr>
        <w:spacing w:before="156" w:after="156"/>
        <w:rPr>
          <w:rFonts w:ascii="Times New Roman"/>
        </w:rPr>
      </w:pPr>
      <w:r>
        <w:t>磁共振</w:t>
      </w:r>
      <w:r>
        <w:rPr>
          <w:rFonts w:ascii="Times New Roman"/>
        </w:rPr>
        <w:t>设备对移动装置的干扰</w:t>
      </w:r>
    </w:p>
    <w:p w14:paraId="13B667CE">
      <w:pPr>
        <w:pStyle w:val="23"/>
        <w:ind w:left="780" w:firstLine="0" w:firstLineChars="0"/>
        <w:rPr>
          <w:rFonts w:ascii="Times New Roman"/>
        </w:rPr>
      </w:pPr>
      <w:r>
        <w:rPr>
          <w:rFonts w:ascii="Times New Roman"/>
        </w:rPr>
        <w:t>按照4.2.1和4.2.2中的方法，分别测量图像质量扫描前和图像质量扫描后移动装置的定位准确性，并进行比较。</w:t>
      </w:r>
    </w:p>
    <w:p w14:paraId="50B1D1F8">
      <w:pPr>
        <w:pStyle w:val="43"/>
        <w:ind w:left="0"/>
        <w:rPr>
          <w:rFonts w:ascii="Times New Roman"/>
        </w:rPr>
      </w:pPr>
      <w:r>
        <w:rPr>
          <w:rFonts w:ascii="Times New Roman"/>
        </w:rPr>
        <w:t>非扫描情况下的运动噪声</w:t>
      </w:r>
      <w:bookmarkEnd w:id="60"/>
    </w:p>
    <w:p w14:paraId="42109FF5">
      <w:pPr>
        <w:pStyle w:val="47"/>
        <w:spacing w:before="156" w:after="156"/>
        <w:ind w:left="0"/>
      </w:pPr>
      <w:r>
        <w:rPr>
          <w:rFonts w:hint="eastAsia"/>
        </w:rPr>
        <w:t>试验条件</w:t>
      </w:r>
    </w:p>
    <w:p w14:paraId="78367648">
      <w:pPr>
        <w:pStyle w:val="23"/>
        <w:rPr>
          <w:rFonts w:hint="eastAsia"/>
        </w:rPr>
      </w:pPr>
      <w:bookmarkStart w:id="61" w:name="_Hlk198801592"/>
      <w:r>
        <w:rPr>
          <w:rFonts w:hint="eastAsia"/>
        </w:rPr>
        <w:t>设备按照说明书规定的使用环境条件进行测试，如温度：25℃±5℃；相对湿度：30%~70%</w:t>
      </w:r>
    </w:p>
    <w:bookmarkEnd w:id="61"/>
    <w:p w14:paraId="55807170">
      <w:pPr>
        <w:pStyle w:val="47"/>
        <w:spacing w:before="156" w:after="156"/>
        <w:ind w:left="0"/>
      </w:pPr>
      <w:r>
        <w:rPr>
          <w:rFonts w:hint="eastAsia"/>
        </w:rPr>
        <w:t>仪器设备</w:t>
      </w:r>
    </w:p>
    <w:p w14:paraId="4DA7490F">
      <w:pPr>
        <w:pStyle w:val="23"/>
      </w:pPr>
      <w:r>
        <w:rPr>
          <w:rFonts w:hint="eastAsia"/>
        </w:rPr>
        <w:t>使用校准过的长度量具、时间量具、A加权的声级计</w:t>
      </w:r>
    </w:p>
    <w:p w14:paraId="527083A1">
      <w:pPr>
        <w:pStyle w:val="47"/>
        <w:spacing w:before="156" w:after="156"/>
        <w:ind w:left="0"/>
        <w:rPr>
          <w:rFonts w:hint="eastAsia"/>
        </w:rPr>
      </w:pPr>
      <w:r>
        <w:rPr>
          <w:rFonts w:hint="eastAsia"/>
        </w:rPr>
        <w:t>试验方法</w:t>
      </w:r>
    </w:p>
    <w:p w14:paraId="63C78363">
      <w:pPr>
        <w:pStyle w:val="23"/>
        <w:rPr>
          <w:rFonts w:hint="eastAsia" w:ascii="Times New Roman"/>
        </w:rPr>
      </w:pPr>
      <w:r>
        <w:rPr>
          <w:rFonts w:ascii="Times New Roman"/>
        </w:rPr>
        <w:t>磁共振设备停止扫描，将移动装置在满载的情况下进行移动，使用声级计在制造商允许的操作者的全部活动区域内，离地1.5米的高度进行测量，每一个测试点连续测试至少20秒，记录下A计权最大声级。</w:t>
      </w:r>
    </w:p>
    <w:p w14:paraId="6FDEB0B7">
      <w:pPr>
        <w:pStyle w:val="43"/>
        <w:ind w:left="0"/>
        <w:rPr>
          <w:rFonts w:ascii="Times New Roman"/>
        </w:rPr>
      </w:pPr>
      <w:bookmarkStart w:id="62" w:name="_Toc194412618"/>
      <w:bookmarkEnd w:id="62"/>
      <w:bookmarkStart w:id="63" w:name="_Toc194409615"/>
      <w:bookmarkEnd w:id="63"/>
      <w:bookmarkStart w:id="64" w:name="_Toc194414630"/>
      <w:bookmarkEnd w:id="64"/>
      <w:bookmarkStart w:id="65" w:name="_Toc194410617"/>
      <w:bookmarkEnd w:id="65"/>
      <w:bookmarkStart w:id="66" w:name="_Toc194411617"/>
      <w:bookmarkEnd w:id="66"/>
      <w:bookmarkStart w:id="67" w:name="_Toc194415635"/>
      <w:bookmarkEnd w:id="67"/>
      <w:bookmarkStart w:id="68" w:name="_Toc194416646"/>
      <w:bookmarkEnd w:id="68"/>
      <w:bookmarkStart w:id="69" w:name="_Toc194413620"/>
      <w:bookmarkEnd w:id="69"/>
      <w:bookmarkStart w:id="70" w:name="_Toc194414631"/>
      <w:r>
        <w:rPr>
          <w:rFonts w:ascii="Times New Roman"/>
        </w:rPr>
        <w:t>图像质量稳定性</w:t>
      </w:r>
    </w:p>
    <w:p w14:paraId="57900E58">
      <w:pPr>
        <w:pStyle w:val="47"/>
        <w:spacing w:before="156" w:after="156"/>
        <w:ind w:left="0"/>
      </w:pPr>
      <w:r>
        <w:rPr>
          <w:rFonts w:hint="eastAsia"/>
        </w:rPr>
        <w:t>试验条件</w:t>
      </w:r>
    </w:p>
    <w:p w14:paraId="0DF05C09">
      <w:pPr>
        <w:pStyle w:val="23"/>
      </w:pPr>
      <w:r>
        <w:rPr>
          <w:rFonts w:hint="eastAsia"/>
        </w:rPr>
        <w:t>设备按照说明书规定的使用环境条件进行测试，如温度：25℃±5℃；相对湿度：30%~70%</w:t>
      </w:r>
    </w:p>
    <w:p w14:paraId="791726F0">
      <w:pPr>
        <w:pStyle w:val="47"/>
        <w:spacing w:before="156" w:after="156"/>
        <w:ind w:left="0"/>
      </w:pPr>
      <w:r>
        <w:rPr>
          <w:rFonts w:hint="eastAsia"/>
        </w:rPr>
        <w:t>仪器设备</w:t>
      </w:r>
    </w:p>
    <w:p w14:paraId="5DEBDFD4">
      <w:pPr>
        <w:pStyle w:val="23"/>
      </w:pPr>
      <w:r>
        <w:rPr>
          <w:rFonts w:hint="eastAsia"/>
        </w:rPr>
        <w:t>见4.3.2</w:t>
      </w:r>
    </w:p>
    <w:p w14:paraId="5FA37E38">
      <w:pPr>
        <w:pStyle w:val="47"/>
        <w:spacing w:before="156" w:after="156"/>
        <w:ind w:left="0"/>
        <w:rPr>
          <w:rFonts w:hint="eastAsia"/>
        </w:rPr>
      </w:pPr>
      <w:r>
        <w:rPr>
          <w:rFonts w:hint="eastAsia"/>
        </w:rPr>
        <w:t>试验方法</w:t>
      </w:r>
    </w:p>
    <w:p w14:paraId="2414E3C7">
      <w:pPr>
        <w:pStyle w:val="23"/>
        <w:rPr>
          <w:rFonts w:ascii="Times New Roman"/>
        </w:rPr>
      </w:pPr>
      <w:r>
        <w:rPr>
          <w:rFonts w:ascii="Times New Roman"/>
        </w:rPr>
        <w:t>分别按照4.3.1和4.3.2的方法，测量移动装置运动10次的信噪比和均匀性，计算图像质量的稳定性。</w:t>
      </w:r>
    </w:p>
    <w:p w14:paraId="098F510A">
      <w:pPr>
        <w:pStyle w:val="23"/>
        <w:rPr>
          <w:rFonts w:ascii="Times New Roman"/>
        </w:rPr>
      </w:pPr>
      <m:oMathPara>
        <m:oMath>
          <m:sSub>
            <m:sSubPr>
              <m:ctrlPr>
                <w:rPr>
                  <w:rFonts w:ascii="Cambria Math" w:hAnsi="Cambria Math" w:eastAsiaTheme="minorEastAsia"/>
                  <w:i/>
                </w:rPr>
              </m:ctrlPr>
            </m:sSubPr>
            <m:e>
              <m:r>
                <m:rPr/>
                <w:rPr>
                  <w:rFonts w:ascii="Cambria Math" w:hAnsi="Cambria Math" w:eastAsiaTheme="minorEastAsia"/>
                </w:rPr>
                <m:t>C</m:t>
              </m:r>
              <m:ctrlPr>
                <w:rPr>
                  <w:rFonts w:ascii="Cambria Math" w:hAnsi="Cambria Math" w:eastAsiaTheme="minorEastAsia"/>
                  <w:i/>
                </w:rPr>
              </m:ctrlPr>
            </m:e>
            <m:sub>
              <m:r>
                <m:rPr/>
                <w:rPr>
                  <w:rFonts w:ascii="Cambria Math" w:hAnsi="Cambria Math" w:eastAsiaTheme="minorEastAsia"/>
                </w:rPr>
                <m:t>v</m:t>
              </m:r>
              <m:ctrlPr>
                <w:rPr>
                  <w:rFonts w:ascii="Cambria Math" w:hAnsi="Cambria Math" w:eastAsiaTheme="minorEastAsia"/>
                  <w:i/>
                </w:rPr>
              </m:ctrlPr>
            </m:sub>
          </m:sSub>
          <m:r>
            <m:rPr>
              <m:sty m:val="p"/>
            </m:rPr>
            <w:rPr>
              <w:rFonts w:ascii="Cambria Math" w:hAnsi="Cambria Math" w:eastAsia="Cambria Math"/>
            </w:rPr>
            <m:t>=</m:t>
          </m:r>
          <m:f>
            <m:fPr>
              <m:ctrlPr>
                <w:rPr>
                  <w:rFonts w:ascii="Cambria Math" w:hAnsi="Cambria Math" w:eastAsia="Cambria Math"/>
                </w:rPr>
              </m:ctrlPr>
            </m:fPr>
            <m:num>
              <m:r>
                <m:rPr/>
                <w:rPr>
                  <w:rFonts w:ascii="Cambria Math" w:hAnsi="Cambria Math" w:eastAsia="Cambria Math"/>
                </w:rPr>
                <m:t>σ</m:t>
              </m:r>
              <m:ctrlPr>
                <w:rPr>
                  <w:rFonts w:ascii="Cambria Math" w:hAnsi="Cambria Math" w:eastAsia="Cambria Math"/>
                </w:rPr>
              </m:ctrlPr>
            </m:num>
            <m:den>
              <m:r>
                <m:rPr/>
                <w:rPr>
                  <w:rFonts w:ascii="Cambria Math" w:hAnsi="Cambria Math" w:eastAsia="Cambria Math"/>
                </w:rPr>
                <m:t>μ</m:t>
              </m:r>
              <m:ctrlPr>
                <w:rPr>
                  <w:rFonts w:ascii="Cambria Math" w:hAnsi="Cambria Math" w:eastAsia="Cambria Math"/>
                </w:rPr>
              </m:ctrlPr>
            </m:den>
          </m:f>
        </m:oMath>
      </m:oMathPara>
    </w:p>
    <w:p w14:paraId="076F4E35">
      <w:pPr>
        <w:pStyle w:val="23"/>
        <w:rPr>
          <w:rFonts w:ascii="Times New Roman"/>
        </w:rPr>
      </w:pPr>
      <w:r>
        <w:rPr>
          <w:rFonts w:ascii="Times New Roman"/>
        </w:rPr>
        <w:t>式中</w:t>
      </w:r>
      <m:oMath>
        <m:r>
          <m:rPr/>
          <w:rPr>
            <w:rFonts w:ascii="Cambria Math" w:hAnsi="Cambria Math"/>
          </w:rPr>
          <m:t>：</m:t>
        </m:r>
      </m:oMath>
    </w:p>
    <w:p w14:paraId="5084FC79">
      <w:pPr>
        <w:pStyle w:val="23"/>
        <w:rPr>
          <w:rFonts w:ascii="Times New Roman"/>
        </w:rPr>
      </w:pPr>
      <m:oMath>
        <m:sSub>
          <m:sSubPr>
            <m:ctrlPr>
              <w:rPr>
                <w:rFonts w:ascii="Cambria Math" w:hAnsi="Cambria Math" w:eastAsiaTheme="minorEastAsia"/>
                <w:i/>
              </w:rPr>
            </m:ctrlPr>
          </m:sSubPr>
          <m:e>
            <m:r>
              <m:rPr/>
              <w:rPr>
                <w:rFonts w:ascii="Cambria Math" w:hAnsi="Cambria Math" w:eastAsiaTheme="minorEastAsia"/>
              </w:rPr>
              <m:t>C</m:t>
            </m:r>
            <m:ctrlPr>
              <w:rPr>
                <w:rFonts w:ascii="Cambria Math" w:hAnsi="Cambria Math" w:eastAsiaTheme="minorEastAsia"/>
                <w:i/>
              </w:rPr>
            </m:ctrlPr>
          </m:e>
          <m:sub>
            <m:r>
              <m:rPr/>
              <w:rPr>
                <w:rFonts w:ascii="Cambria Math" w:hAnsi="Cambria Math" w:eastAsiaTheme="minorEastAsia"/>
              </w:rPr>
              <m:t>v</m:t>
            </m:r>
            <m:ctrlPr>
              <w:rPr>
                <w:rFonts w:ascii="Cambria Math" w:hAnsi="Cambria Math" w:eastAsiaTheme="minorEastAsia"/>
                <w:i/>
              </w:rPr>
            </m:ctrlPr>
          </m:sub>
        </m:sSub>
      </m:oMath>
      <w:r>
        <w:rPr>
          <w:rFonts w:ascii="Times New Roman"/>
        </w:rPr>
        <w:t>为图像质量稳定性；</w:t>
      </w:r>
    </w:p>
    <w:p w14:paraId="4B9D5C8C">
      <w:pPr>
        <w:pStyle w:val="23"/>
        <w:rPr>
          <w:rFonts w:ascii="Times New Roman"/>
        </w:rPr>
      </w:pPr>
      <m:oMath>
        <m:r>
          <m:rPr/>
          <w:rPr>
            <w:rFonts w:ascii="Cambria Math" w:hAnsi="Cambria Math" w:eastAsia="Cambria Math"/>
          </w:rPr>
          <m:t>σ</m:t>
        </m:r>
      </m:oMath>
      <w:r>
        <w:rPr>
          <w:rFonts w:ascii="Times New Roman"/>
        </w:rPr>
        <w:t>为10次图像质量的标准方差；</w:t>
      </w:r>
    </w:p>
    <w:p w14:paraId="59365249">
      <w:pPr>
        <w:pStyle w:val="23"/>
        <w:rPr>
          <w:rFonts w:ascii="Times New Roman"/>
        </w:rPr>
      </w:pPr>
      <w:r>
        <w:rPr>
          <w:rFonts w:ascii="Times New Roman"/>
        </w:rPr>
        <w:t>μ为10次图像质量的平均值。</w:t>
      </w:r>
    </w:p>
    <w:p w14:paraId="73204D29">
      <w:pPr>
        <w:pStyle w:val="23"/>
        <w:jc w:val="center"/>
        <w:rPr>
          <w:rFonts w:ascii="Times New Roman"/>
        </w:rPr>
      </w:pPr>
      <w:r>
        <w:rPr>
          <w:rFonts w:hint="eastAsia" w:ascii="Times New Roman"/>
        </w:rPr>
        <w:t>表3 图像质量稳定性 数据统计</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3115"/>
        <w:gridCol w:w="3115"/>
      </w:tblGrid>
      <w:tr w14:paraId="296E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1C87B4D1">
            <w:pPr>
              <w:pStyle w:val="23"/>
              <w:ind w:firstLine="0" w:firstLineChars="0"/>
              <w:rPr>
                <w:rFonts w:ascii="Times New Roman"/>
                <w:szCs w:val="18"/>
              </w:rPr>
            </w:pPr>
            <w:r>
              <w:rPr>
                <w:rFonts w:hint="eastAsia" w:ascii="Times New Roman"/>
                <w:szCs w:val="18"/>
              </w:rPr>
              <w:t>测试次数</w:t>
            </w:r>
          </w:p>
        </w:tc>
        <w:tc>
          <w:tcPr>
            <w:tcW w:w="3115" w:type="dxa"/>
          </w:tcPr>
          <w:p w14:paraId="1D3069EE">
            <w:pPr>
              <w:pStyle w:val="23"/>
              <w:ind w:firstLine="0" w:firstLineChars="0"/>
              <w:rPr>
                <w:rFonts w:ascii="Times New Roman"/>
                <w:szCs w:val="18"/>
              </w:rPr>
            </w:pPr>
            <w:r>
              <w:rPr>
                <w:rFonts w:hint="eastAsia" w:ascii="Times New Roman"/>
                <w:szCs w:val="18"/>
              </w:rPr>
              <w:t>信噪比</w:t>
            </w:r>
          </w:p>
        </w:tc>
        <w:tc>
          <w:tcPr>
            <w:tcW w:w="3115" w:type="dxa"/>
          </w:tcPr>
          <w:p w14:paraId="655C852F">
            <w:pPr>
              <w:pStyle w:val="23"/>
              <w:ind w:firstLine="0" w:firstLineChars="0"/>
              <w:rPr>
                <w:rFonts w:ascii="Times New Roman"/>
                <w:szCs w:val="18"/>
              </w:rPr>
            </w:pPr>
            <w:r>
              <w:rPr>
                <w:rFonts w:hint="eastAsia" w:ascii="Times New Roman"/>
                <w:szCs w:val="18"/>
              </w:rPr>
              <w:t>均匀性</w:t>
            </w:r>
          </w:p>
        </w:tc>
      </w:tr>
      <w:tr w14:paraId="0F45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0572F409">
            <w:pPr>
              <w:pStyle w:val="23"/>
              <w:ind w:firstLine="0" w:firstLineChars="0"/>
              <w:rPr>
                <w:rFonts w:ascii="Times New Roman"/>
                <w:szCs w:val="18"/>
              </w:rPr>
            </w:pPr>
            <w:r>
              <w:rPr>
                <w:rFonts w:hint="eastAsia" w:ascii="Times New Roman"/>
                <w:szCs w:val="18"/>
              </w:rPr>
              <w:t>1</w:t>
            </w:r>
          </w:p>
        </w:tc>
        <w:tc>
          <w:tcPr>
            <w:tcW w:w="3115" w:type="dxa"/>
          </w:tcPr>
          <w:p w14:paraId="2608B05F">
            <w:pPr>
              <w:pStyle w:val="23"/>
              <w:ind w:firstLine="0" w:firstLineChars="0"/>
              <w:rPr>
                <w:rFonts w:ascii="Times New Roman"/>
                <w:szCs w:val="18"/>
              </w:rPr>
            </w:pPr>
          </w:p>
        </w:tc>
        <w:tc>
          <w:tcPr>
            <w:tcW w:w="3115" w:type="dxa"/>
          </w:tcPr>
          <w:p w14:paraId="366301B5">
            <w:pPr>
              <w:pStyle w:val="23"/>
              <w:ind w:firstLine="0" w:firstLineChars="0"/>
              <w:rPr>
                <w:rFonts w:ascii="Times New Roman"/>
                <w:szCs w:val="18"/>
              </w:rPr>
            </w:pPr>
          </w:p>
        </w:tc>
      </w:tr>
      <w:tr w14:paraId="1220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6F5D5650">
            <w:pPr>
              <w:pStyle w:val="23"/>
              <w:ind w:firstLine="0" w:firstLineChars="0"/>
              <w:rPr>
                <w:rFonts w:ascii="Times New Roman"/>
                <w:szCs w:val="18"/>
              </w:rPr>
            </w:pPr>
            <w:r>
              <w:rPr>
                <w:rFonts w:hint="eastAsia" w:ascii="Times New Roman"/>
                <w:szCs w:val="18"/>
              </w:rPr>
              <w:t>2</w:t>
            </w:r>
          </w:p>
        </w:tc>
        <w:tc>
          <w:tcPr>
            <w:tcW w:w="3115" w:type="dxa"/>
          </w:tcPr>
          <w:p w14:paraId="6AC53EC9">
            <w:pPr>
              <w:pStyle w:val="23"/>
              <w:ind w:firstLine="0" w:firstLineChars="0"/>
              <w:rPr>
                <w:rFonts w:ascii="Times New Roman"/>
                <w:szCs w:val="18"/>
              </w:rPr>
            </w:pPr>
          </w:p>
        </w:tc>
        <w:tc>
          <w:tcPr>
            <w:tcW w:w="3115" w:type="dxa"/>
          </w:tcPr>
          <w:p w14:paraId="2C068B73">
            <w:pPr>
              <w:pStyle w:val="23"/>
              <w:ind w:firstLine="0" w:firstLineChars="0"/>
              <w:rPr>
                <w:rFonts w:ascii="Times New Roman"/>
                <w:szCs w:val="18"/>
              </w:rPr>
            </w:pPr>
          </w:p>
        </w:tc>
      </w:tr>
      <w:tr w14:paraId="03CD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02F2F11D">
            <w:pPr>
              <w:pStyle w:val="23"/>
              <w:ind w:firstLine="0" w:firstLineChars="0"/>
              <w:rPr>
                <w:rFonts w:ascii="Times New Roman"/>
                <w:szCs w:val="18"/>
              </w:rPr>
            </w:pPr>
            <w:r>
              <w:rPr>
                <w:rFonts w:hint="eastAsia" w:ascii="Times New Roman"/>
                <w:szCs w:val="18"/>
              </w:rPr>
              <w:t>3</w:t>
            </w:r>
          </w:p>
        </w:tc>
        <w:tc>
          <w:tcPr>
            <w:tcW w:w="3115" w:type="dxa"/>
          </w:tcPr>
          <w:p w14:paraId="3D18A1DA">
            <w:pPr>
              <w:pStyle w:val="23"/>
              <w:ind w:firstLine="0" w:firstLineChars="0"/>
              <w:rPr>
                <w:rFonts w:ascii="Times New Roman"/>
                <w:szCs w:val="18"/>
              </w:rPr>
            </w:pPr>
          </w:p>
        </w:tc>
        <w:tc>
          <w:tcPr>
            <w:tcW w:w="3115" w:type="dxa"/>
          </w:tcPr>
          <w:p w14:paraId="75060A80">
            <w:pPr>
              <w:pStyle w:val="23"/>
              <w:ind w:firstLine="0" w:firstLineChars="0"/>
              <w:rPr>
                <w:rFonts w:ascii="Times New Roman"/>
                <w:szCs w:val="18"/>
              </w:rPr>
            </w:pPr>
          </w:p>
        </w:tc>
      </w:tr>
      <w:tr w14:paraId="3726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094B0109">
            <w:pPr>
              <w:pStyle w:val="23"/>
              <w:ind w:firstLine="0" w:firstLineChars="0"/>
              <w:rPr>
                <w:rFonts w:ascii="Times New Roman"/>
                <w:szCs w:val="18"/>
              </w:rPr>
            </w:pPr>
            <w:r>
              <w:rPr>
                <w:rFonts w:hint="eastAsia" w:ascii="Times New Roman"/>
                <w:szCs w:val="18"/>
              </w:rPr>
              <w:t>4</w:t>
            </w:r>
          </w:p>
        </w:tc>
        <w:tc>
          <w:tcPr>
            <w:tcW w:w="3115" w:type="dxa"/>
          </w:tcPr>
          <w:p w14:paraId="1D7370DE">
            <w:pPr>
              <w:pStyle w:val="23"/>
              <w:ind w:firstLine="0" w:firstLineChars="0"/>
              <w:rPr>
                <w:rFonts w:ascii="Times New Roman"/>
                <w:szCs w:val="18"/>
              </w:rPr>
            </w:pPr>
          </w:p>
        </w:tc>
        <w:tc>
          <w:tcPr>
            <w:tcW w:w="3115" w:type="dxa"/>
          </w:tcPr>
          <w:p w14:paraId="70BDA9C5">
            <w:pPr>
              <w:pStyle w:val="23"/>
              <w:ind w:firstLine="0" w:firstLineChars="0"/>
              <w:rPr>
                <w:rFonts w:ascii="Times New Roman"/>
                <w:szCs w:val="18"/>
              </w:rPr>
            </w:pPr>
          </w:p>
        </w:tc>
      </w:tr>
      <w:tr w14:paraId="22F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69CA4797">
            <w:pPr>
              <w:pStyle w:val="23"/>
              <w:ind w:firstLine="0" w:firstLineChars="0"/>
              <w:rPr>
                <w:rFonts w:ascii="Times New Roman"/>
                <w:szCs w:val="18"/>
              </w:rPr>
            </w:pPr>
            <w:r>
              <w:rPr>
                <w:rFonts w:hint="eastAsia" w:ascii="Times New Roman"/>
                <w:szCs w:val="18"/>
              </w:rPr>
              <w:t>5</w:t>
            </w:r>
          </w:p>
        </w:tc>
        <w:tc>
          <w:tcPr>
            <w:tcW w:w="3115" w:type="dxa"/>
          </w:tcPr>
          <w:p w14:paraId="102968B0">
            <w:pPr>
              <w:pStyle w:val="23"/>
              <w:ind w:firstLine="0" w:firstLineChars="0"/>
              <w:rPr>
                <w:rFonts w:ascii="Times New Roman"/>
                <w:szCs w:val="18"/>
              </w:rPr>
            </w:pPr>
          </w:p>
        </w:tc>
        <w:tc>
          <w:tcPr>
            <w:tcW w:w="3115" w:type="dxa"/>
          </w:tcPr>
          <w:p w14:paraId="1FA1F2F1">
            <w:pPr>
              <w:pStyle w:val="23"/>
              <w:ind w:firstLine="0" w:firstLineChars="0"/>
              <w:rPr>
                <w:rFonts w:ascii="Times New Roman"/>
                <w:szCs w:val="18"/>
              </w:rPr>
            </w:pPr>
          </w:p>
        </w:tc>
      </w:tr>
      <w:tr w14:paraId="45D8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4C91272E">
            <w:pPr>
              <w:pStyle w:val="23"/>
              <w:ind w:firstLine="0" w:firstLineChars="0"/>
              <w:rPr>
                <w:rFonts w:ascii="Times New Roman"/>
                <w:szCs w:val="18"/>
              </w:rPr>
            </w:pPr>
            <w:r>
              <w:rPr>
                <w:rFonts w:hint="eastAsia" w:ascii="Times New Roman"/>
                <w:szCs w:val="18"/>
              </w:rPr>
              <w:t>6</w:t>
            </w:r>
          </w:p>
        </w:tc>
        <w:tc>
          <w:tcPr>
            <w:tcW w:w="3115" w:type="dxa"/>
          </w:tcPr>
          <w:p w14:paraId="7798EE44">
            <w:pPr>
              <w:pStyle w:val="23"/>
              <w:ind w:firstLine="0" w:firstLineChars="0"/>
              <w:rPr>
                <w:rFonts w:ascii="Times New Roman"/>
                <w:szCs w:val="18"/>
              </w:rPr>
            </w:pPr>
          </w:p>
        </w:tc>
        <w:tc>
          <w:tcPr>
            <w:tcW w:w="3115" w:type="dxa"/>
          </w:tcPr>
          <w:p w14:paraId="40F9AFBF">
            <w:pPr>
              <w:pStyle w:val="23"/>
              <w:ind w:firstLine="0" w:firstLineChars="0"/>
              <w:rPr>
                <w:rFonts w:ascii="Times New Roman"/>
                <w:szCs w:val="18"/>
              </w:rPr>
            </w:pPr>
          </w:p>
        </w:tc>
      </w:tr>
      <w:tr w14:paraId="1A81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0DA19001">
            <w:pPr>
              <w:pStyle w:val="23"/>
              <w:ind w:firstLine="0" w:firstLineChars="0"/>
              <w:rPr>
                <w:rFonts w:ascii="Times New Roman"/>
                <w:szCs w:val="18"/>
              </w:rPr>
            </w:pPr>
            <w:r>
              <w:rPr>
                <w:rFonts w:hint="eastAsia" w:ascii="Times New Roman"/>
                <w:szCs w:val="18"/>
              </w:rPr>
              <w:t>7</w:t>
            </w:r>
          </w:p>
        </w:tc>
        <w:tc>
          <w:tcPr>
            <w:tcW w:w="3115" w:type="dxa"/>
          </w:tcPr>
          <w:p w14:paraId="0A1E1FF4">
            <w:pPr>
              <w:pStyle w:val="23"/>
              <w:ind w:firstLine="0" w:firstLineChars="0"/>
              <w:rPr>
                <w:rFonts w:ascii="Times New Roman"/>
                <w:szCs w:val="18"/>
              </w:rPr>
            </w:pPr>
          </w:p>
        </w:tc>
        <w:tc>
          <w:tcPr>
            <w:tcW w:w="3115" w:type="dxa"/>
          </w:tcPr>
          <w:p w14:paraId="40BC7FD9">
            <w:pPr>
              <w:pStyle w:val="23"/>
              <w:ind w:firstLine="0" w:firstLineChars="0"/>
              <w:rPr>
                <w:rFonts w:ascii="Times New Roman"/>
                <w:szCs w:val="18"/>
              </w:rPr>
            </w:pPr>
          </w:p>
        </w:tc>
      </w:tr>
      <w:tr w14:paraId="44C6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764FAA08">
            <w:pPr>
              <w:pStyle w:val="23"/>
              <w:ind w:firstLine="0" w:firstLineChars="0"/>
              <w:rPr>
                <w:rFonts w:ascii="Times New Roman"/>
                <w:szCs w:val="18"/>
              </w:rPr>
            </w:pPr>
            <w:r>
              <w:rPr>
                <w:rFonts w:hint="eastAsia" w:ascii="Times New Roman"/>
                <w:szCs w:val="18"/>
              </w:rPr>
              <w:t>8</w:t>
            </w:r>
          </w:p>
        </w:tc>
        <w:tc>
          <w:tcPr>
            <w:tcW w:w="3115" w:type="dxa"/>
          </w:tcPr>
          <w:p w14:paraId="693AEB84">
            <w:pPr>
              <w:pStyle w:val="23"/>
              <w:ind w:firstLine="0" w:firstLineChars="0"/>
              <w:rPr>
                <w:rFonts w:ascii="Times New Roman"/>
                <w:szCs w:val="18"/>
              </w:rPr>
            </w:pPr>
          </w:p>
        </w:tc>
        <w:tc>
          <w:tcPr>
            <w:tcW w:w="3115" w:type="dxa"/>
          </w:tcPr>
          <w:p w14:paraId="146A157A">
            <w:pPr>
              <w:pStyle w:val="23"/>
              <w:ind w:firstLine="0" w:firstLineChars="0"/>
              <w:rPr>
                <w:rFonts w:ascii="Times New Roman"/>
                <w:szCs w:val="18"/>
              </w:rPr>
            </w:pPr>
          </w:p>
        </w:tc>
      </w:tr>
      <w:tr w14:paraId="3F4D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12043516">
            <w:pPr>
              <w:pStyle w:val="23"/>
              <w:ind w:firstLine="0" w:firstLineChars="0"/>
              <w:rPr>
                <w:rFonts w:ascii="Times New Roman"/>
                <w:szCs w:val="18"/>
              </w:rPr>
            </w:pPr>
            <w:r>
              <w:rPr>
                <w:rFonts w:hint="eastAsia" w:ascii="Times New Roman"/>
                <w:szCs w:val="18"/>
              </w:rPr>
              <w:t>9</w:t>
            </w:r>
          </w:p>
        </w:tc>
        <w:tc>
          <w:tcPr>
            <w:tcW w:w="3115" w:type="dxa"/>
          </w:tcPr>
          <w:p w14:paraId="46754F87">
            <w:pPr>
              <w:pStyle w:val="23"/>
              <w:ind w:firstLine="0" w:firstLineChars="0"/>
              <w:rPr>
                <w:rFonts w:ascii="Times New Roman"/>
                <w:szCs w:val="18"/>
              </w:rPr>
            </w:pPr>
          </w:p>
        </w:tc>
        <w:tc>
          <w:tcPr>
            <w:tcW w:w="3115" w:type="dxa"/>
          </w:tcPr>
          <w:p w14:paraId="1D78D346">
            <w:pPr>
              <w:pStyle w:val="23"/>
              <w:ind w:firstLine="0" w:firstLineChars="0"/>
              <w:rPr>
                <w:rFonts w:ascii="Times New Roman"/>
                <w:szCs w:val="18"/>
              </w:rPr>
            </w:pPr>
          </w:p>
        </w:tc>
      </w:tr>
      <w:tr w14:paraId="15D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6B690F76">
            <w:pPr>
              <w:pStyle w:val="23"/>
              <w:ind w:firstLine="0" w:firstLineChars="0"/>
              <w:rPr>
                <w:rFonts w:ascii="Times New Roman"/>
                <w:szCs w:val="18"/>
              </w:rPr>
            </w:pPr>
            <w:r>
              <w:rPr>
                <w:rFonts w:hint="eastAsia" w:ascii="Times New Roman"/>
                <w:szCs w:val="18"/>
              </w:rPr>
              <w:t>10</w:t>
            </w:r>
          </w:p>
        </w:tc>
        <w:tc>
          <w:tcPr>
            <w:tcW w:w="3115" w:type="dxa"/>
          </w:tcPr>
          <w:p w14:paraId="388309F2">
            <w:pPr>
              <w:pStyle w:val="23"/>
              <w:ind w:firstLine="0" w:firstLineChars="0"/>
              <w:rPr>
                <w:rFonts w:ascii="Times New Roman"/>
                <w:szCs w:val="18"/>
              </w:rPr>
            </w:pPr>
          </w:p>
        </w:tc>
        <w:tc>
          <w:tcPr>
            <w:tcW w:w="3115" w:type="dxa"/>
          </w:tcPr>
          <w:p w14:paraId="162147EE">
            <w:pPr>
              <w:pStyle w:val="23"/>
              <w:ind w:firstLine="0" w:firstLineChars="0"/>
              <w:rPr>
                <w:rFonts w:ascii="Times New Roman"/>
                <w:szCs w:val="18"/>
              </w:rPr>
            </w:pPr>
          </w:p>
        </w:tc>
      </w:tr>
      <w:tr w14:paraId="268C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3FF68D2D">
            <w:pPr>
              <w:pStyle w:val="23"/>
              <w:ind w:firstLine="0" w:firstLineChars="0"/>
              <w:rPr>
                <w:rFonts w:ascii="Times New Roman"/>
                <w:szCs w:val="18"/>
              </w:rPr>
            </w:pPr>
            <w:r>
              <w:rPr>
                <w:rFonts w:hint="eastAsia" w:ascii="Times New Roman"/>
                <w:szCs w:val="18"/>
              </w:rPr>
              <w:t>平均值（μ）</w:t>
            </w:r>
          </w:p>
        </w:tc>
        <w:tc>
          <w:tcPr>
            <w:tcW w:w="3115" w:type="dxa"/>
          </w:tcPr>
          <w:p w14:paraId="7092C5CC">
            <w:pPr>
              <w:pStyle w:val="23"/>
              <w:ind w:firstLine="0" w:firstLineChars="0"/>
              <w:rPr>
                <w:rFonts w:ascii="Times New Roman"/>
                <w:szCs w:val="18"/>
              </w:rPr>
            </w:pPr>
          </w:p>
        </w:tc>
        <w:tc>
          <w:tcPr>
            <w:tcW w:w="3115" w:type="dxa"/>
          </w:tcPr>
          <w:p w14:paraId="49BB03C4">
            <w:pPr>
              <w:pStyle w:val="23"/>
              <w:ind w:firstLine="0" w:firstLineChars="0"/>
              <w:rPr>
                <w:rFonts w:ascii="Times New Roman"/>
                <w:szCs w:val="18"/>
              </w:rPr>
            </w:pPr>
          </w:p>
        </w:tc>
      </w:tr>
      <w:tr w14:paraId="0C56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67A8D3DE">
            <w:pPr>
              <w:pStyle w:val="23"/>
              <w:ind w:firstLine="0" w:firstLineChars="0"/>
              <w:rPr>
                <w:rFonts w:ascii="Times New Roman"/>
                <w:i/>
                <w:szCs w:val="18"/>
              </w:rPr>
            </w:pPr>
            <w:r>
              <w:rPr>
                <w:rFonts w:hint="eastAsia" w:ascii="Times New Roman"/>
                <w:szCs w:val="18"/>
              </w:rPr>
              <w:t>标准方差（</w:t>
            </w:r>
            <m:oMath>
              <m:r>
                <m:rPr/>
                <w:rPr>
                  <w:rFonts w:ascii="Cambria Math" w:hAnsi="Cambria Math" w:eastAsia="Cambria Math"/>
                  <w:szCs w:val="18"/>
                </w:rPr>
                <m:t>σ</m:t>
              </m:r>
            </m:oMath>
            <w:r>
              <w:rPr>
                <w:rFonts w:hint="eastAsia" w:ascii="Times New Roman"/>
                <w:szCs w:val="18"/>
              </w:rPr>
              <w:t>）</w:t>
            </w:r>
          </w:p>
        </w:tc>
        <w:tc>
          <w:tcPr>
            <w:tcW w:w="3115" w:type="dxa"/>
          </w:tcPr>
          <w:p w14:paraId="52D4D4D9">
            <w:pPr>
              <w:pStyle w:val="23"/>
              <w:ind w:firstLine="0" w:firstLineChars="0"/>
              <w:rPr>
                <w:rFonts w:ascii="Times New Roman"/>
                <w:szCs w:val="18"/>
              </w:rPr>
            </w:pPr>
          </w:p>
        </w:tc>
        <w:tc>
          <w:tcPr>
            <w:tcW w:w="3115" w:type="dxa"/>
          </w:tcPr>
          <w:p w14:paraId="49F66392">
            <w:pPr>
              <w:pStyle w:val="23"/>
              <w:ind w:firstLine="0" w:firstLineChars="0"/>
              <w:rPr>
                <w:rFonts w:ascii="Times New Roman"/>
                <w:szCs w:val="18"/>
              </w:rPr>
            </w:pPr>
          </w:p>
        </w:tc>
      </w:tr>
      <w:tr w14:paraId="56F3F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tcPr>
          <w:p w14:paraId="78563201">
            <w:pPr>
              <w:pStyle w:val="23"/>
              <w:ind w:firstLine="0" w:firstLineChars="0"/>
              <w:rPr>
                <w:rFonts w:ascii="Times New Roman"/>
                <w:szCs w:val="18"/>
              </w:rPr>
            </w:pPr>
            <w:r>
              <w:rPr>
                <w:rFonts w:ascii="Times New Roman"/>
                <w:szCs w:val="18"/>
              </w:rPr>
              <w:t>图像质量稳定性</w:t>
            </w:r>
            <m:oMath>
              <m:sSub>
                <m:sSubPr>
                  <m:ctrlPr>
                    <w:rPr>
                      <w:rFonts w:ascii="Cambria Math" w:hAnsi="Cambria Math" w:eastAsiaTheme="minorEastAsia"/>
                      <w:i/>
                      <w:szCs w:val="18"/>
                    </w:rPr>
                  </m:ctrlPr>
                </m:sSubPr>
                <m:e>
                  <m:r>
                    <m:rPr/>
                    <w:rPr>
                      <w:rFonts w:ascii="Cambria Math" w:hAnsi="Cambria Math" w:eastAsiaTheme="minorEastAsia"/>
                      <w:szCs w:val="18"/>
                    </w:rPr>
                    <m:t>C</m:t>
                  </m:r>
                  <m:ctrlPr>
                    <w:rPr>
                      <w:rFonts w:ascii="Cambria Math" w:hAnsi="Cambria Math" w:eastAsiaTheme="minorEastAsia"/>
                      <w:i/>
                      <w:szCs w:val="18"/>
                    </w:rPr>
                  </m:ctrlPr>
                </m:e>
                <m:sub>
                  <m:r>
                    <m:rPr/>
                    <w:rPr>
                      <w:rFonts w:ascii="Cambria Math" w:hAnsi="Cambria Math" w:eastAsiaTheme="minorEastAsia"/>
                      <w:szCs w:val="18"/>
                    </w:rPr>
                    <m:t>v</m:t>
                  </m:r>
                  <m:ctrlPr>
                    <w:rPr>
                      <w:rFonts w:ascii="Cambria Math" w:hAnsi="Cambria Math" w:eastAsiaTheme="minorEastAsia"/>
                      <w:i/>
                      <w:szCs w:val="18"/>
                    </w:rPr>
                  </m:ctrlPr>
                </m:sub>
              </m:sSub>
            </m:oMath>
          </w:p>
        </w:tc>
        <w:tc>
          <w:tcPr>
            <w:tcW w:w="3115" w:type="dxa"/>
          </w:tcPr>
          <w:p w14:paraId="1DC939CA">
            <w:pPr>
              <w:pStyle w:val="23"/>
              <w:ind w:firstLine="0" w:firstLineChars="0"/>
              <w:rPr>
                <w:rFonts w:ascii="Times New Roman"/>
                <w:szCs w:val="18"/>
              </w:rPr>
            </w:pPr>
          </w:p>
        </w:tc>
        <w:tc>
          <w:tcPr>
            <w:tcW w:w="3115" w:type="dxa"/>
          </w:tcPr>
          <w:p w14:paraId="4BBAC3BD">
            <w:pPr>
              <w:pStyle w:val="23"/>
              <w:ind w:firstLine="0" w:firstLineChars="0"/>
              <w:rPr>
                <w:rFonts w:ascii="Times New Roman"/>
                <w:szCs w:val="18"/>
              </w:rPr>
            </w:pPr>
          </w:p>
        </w:tc>
      </w:tr>
    </w:tbl>
    <w:p w14:paraId="7216ACBC">
      <w:pPr>
        <w:pStyle w:val="23"/>
        <w:rPr>
          <w:rFonts w:ascii="Times New Roman"/>
        </w:rPr>
      </w:pPr>
    </w:p>
    <w:bookmarkEnd w:id="70"/>
    <w:p w14:paraId="7163FB59">
      <w:pPr>
        <w:pStyle w:val="43"/>
        <w:ind w:left="0"/>
        <w:rPr>
          <w:rFonts w:ascii="Times New Roman"/>
        </w:rPr>
      </w:pPr>
      <w:bookmarkStart w:id="71" w:name="_Toc194415347"/>
      <w:r>
        <w:rPr>
          <w:rFonts w:ascii="Times New Roman"/>
        </w:rPr>
        <w:t>紧急断电状态</w:t>
      </w:r>
      <w:bookmarkEnd w:id="71"/>
    </w:p>
    <w:p w14:paraId="5FD2EB08">
      <w:pPr>
        <w:pStyle w:val="47"/>
        <w:spacing w:before="156" w:after="156"/>
        <w:ind w:left="0"/>
      </w:pPr>
      <w:r>
        <w:rPr>
          <w:rFonts w:hint="eastAsia"/>
        </w:rPr>
        <w:t>试验条件</w:t>
      </w:r>
    </w:p>
    <w:p w14:paraId="4F8F46B0">
      <w:pPr>
        <w:pStyle w:val="23"/>
      </w:pPr>
      <w:r>
        <w:rPr>
          <w:rFonts w:hint="eastAsia"/>
        </w:rPr>
        <w:t>设备按照说明书规定的使用环境条件进行测试，如温度：25℃±5℃；相对湿度：30%~70%</w:t>
      </w:r>
    </w:p>
    <w:p w14:paraId="782297CF">
      <w:pPr>
        <w:pStyle w:val="47"/>
        <w:spacing w:before="156" w:after="156"/>
        <w:ind w:left="0"/>
      </w:pPr>
      <w:r>
        <w:rPr>
          <w:rFonts w:hint="eastAsia"/>
        </w:rPr>
        <w:t>仪器设备</w:t>
      </w:r>
    </w:p>
    <w:p w14:paraId="11B09B69">
      <w:pPr>
        <w:pStyle w:val="23"/>
      </w:pPr>
      <w:r>
        <w:rPr>
          <w:rFonts w:hint="eastAsia"/>
        </w:rPr>
        <w:t>使用校准过的示波器、过冲距离测量仪器（如激光跟踪仪）</w:t>
      </w:r>
    </w:p>
    <w:p w14:paraId="2E39225C">
      <w:pPr>
        <w:pStyle w:val="47"/>
        <w:spacing w:before="156" w:after="156"/>
        <w:ind w:left="0"/>
        <w:rPr>
          <w:rFonts w:hint="eastAsia"/>
        </w:rPr>
      </w:pPr>
      <w:r>
        <w:rPr>
          <w:rFonts w:hint="eastAsia"/>
        </w:rPr>
        <w:t>试验方法</w:t>
      </w:r>
    </w:p>
    <w:p w14:paraId="24E2F248">
      <w:pPr>
        <w:pStyle w:val="56"/>
        <w:numPr>
          <w:ilvl w:val="3"/>
          <w:numId w:val="2"/>
        </w:numPr>
        <w:spacing w:before="156" w:after="156"/>
      </w:pPr>
      <w:r>
        <w:t>断开连接时间</w:t>
      </w:r>
    </w:p>
    <w:p w14:paraId="178E29E3">
      <w:pPr>
        <w:pStyle w:val="23"/>
        <w:rPr>
          <w:rFonts w:ascii="Times New Roman"/>
        </w:rPr>
      </w:pPr>
      <w:r>
        <w:rPr>
          <w:rFonts w:ascii="Times New Roman"/>
        </w:rPr>
        <w:t>在紧急断电的情况下，通过示波器测量紧急停止装置动作到驱动电机停止的时间。</w:t>
      </w:r>
    </w:p>
    <w:p w14:paraId="7828F827">
      <w:pPr>
        <w:pStyle w:val="23"/>
        <w:rPr>
          <w:rFonts w:ascii="Times New Roman"/>
        </w:rPr>
      </w:pPr>
      <w:r>
        <w:rPr>
          <w:rFonts w:ascii="Times New Roman"/>
        </w:rPr>
        <w:t>示波器不同的通道分别接入急停开关信号和驱动电机控制信号，测量从急停开关动作到驱动器停止的时间差，重复测量5次，取最大值。</w:t>
      </w:r>
    </w:p>
    <w:p w14:paraId="0150B0C1">
      <w:pPr>
        <w:pStyle w:val="56"/>
        <w:numPr>
          <w:ilvl w:val="3"/>
          <w:numId w:val="2"/>
        </w:numPr>
        <w:spacing w:before="156" w:after="156"/>
        <w:rPr>
          <w:rFonts w:ascii="Times New Roman"/>
        </w:rPr>
      </w:pPr>
      <w:r>
        <w:rPr>
          <w:rFonts w:ascii="Times New Roman"/>
        </w:rPr>
        <w:t>运动过冲距离</w:t>
      </w:r>
    </w:p>
    <w:p w14:paraId="66350475">
      <w:pPr>
        <w:pStyle w:val="23"/>
        <w:ind w:left="181" w:leftChars="86"/>
        <w:rPr>
          <w:rFonts w:ascii="Times New Roman"/>
        </w:rPr>
      </w:pPr>
      <w:r>
        <w:rPr>
          <w:rFonts w:ascii="Times New Roman"/>
        </w:rPr>
        <w:t>在水平地面上，以最大速度运行的状态下，中断电动运动，通过使用合适的工具（如激光跟踪仪），测量从接收到中断信号到移动装置最终停止的距离，重复测量5次，取最大值。</w:t>
      </w:r>
    </w:p>
    <w:p w14:paraId="40077430">
      <w:pPr>
        <w:pStyle w:val="23"/>
        <w:ind w:left="181" w:leftChars="86"/>
        <w:rPr>
          <w:rFonts w:ascii="Times New Roman"/>
        </w:rPr>
      </w:pPr>
      <w:r>
        <w:rPr>
          <w:rFonts w:ascii="Times New Roman"/>
        </w:rPr>
        <w:t>其中中断电动运动模式包含急停装置中断模式、供电网中断模式（如适用）、内部电源供电中断模式（如适用）。</w:t>
      </w:r>
    </w:p>
    <w:p w14:paraId="5E849E24">
      <w:pPr>
        <w:pStyle w:val="43"/>
        <w:ind w:left="0"/>
        <w:rPr>
          <w:rFonts w:ascii="Times New Roman"/>
        </w:rPr>
      </w:pPr>
      <w:r>
        <w:rPr>
          <w:rFonts w:ascii="Times New Roman"/>
        </w:rPr>
        <w:t>不同供电模式下的图像质量</w:t>
      </w:r>
    </w:p>
    <w:p w14:paraId="76006BE3">
      <w:pPr>
        <w:pStyle w:val="23"/>
        <w:rPr>
          <w:rFonts w:hint="eastAsia"/>
        </w:rPr>
      </w:pPr>
      <w:r>
        <w:rPr>
          <w:rFonts w:ascii="Times New Roman"/>
        </w:rPr>
        <w:t>若适用，在内部电源模式下支持图像扫描功能的磁共振设备，分别在网电源供电和内部电源供电模式下，</w:t>
      </w:r>
      <w:r>
        <w:rPr>
          <w:rFonts w:hint="eastAsia" w:ascii="Times New Roman"/>
        </w:rPr>
        <w:t>进行以下测试。</w:t>
      </w:r>
    </w:p>
    <w:p w14:paraId="0B0E3E38">
      <w:pPr>
        <w:pStyle w:val="47"/>
        <w:spacing w:before="156" w:after="156"/>
        <w:ind w:left="0"/>
      </w:pPr>
      <w:r>
        <w:rPr>
          <w:rFonts w:hint="eastAsia"/>
        </w:rPr>
        <w:t>试验条件</w:t>
      </w:r>
    </w:p>
    <w:p w14:paraId="229ABA3F">
      <w:pPr>
        <w:pStyle w:val="23"/>
      </w:pPr>
      <w:r>
        <w:rPr>
          <w:rFonts w:hint="eastAsia"/>
        </w:rPr>
        <w:t>设备按照说明书规定的使用环境条件进行测试，如温度：25℃±5℃；相对湿度：30%~70%</w:t>
      </w:r>
    </w:p>
    <w:p w14:paraId="4813ECB6">
      <w:pPr>
        <w:pStyle w:val="47"/>
        <w:spacing w:before="156" w:after="156"/>
        <w:ind w:left="0"/>
      </w:pPr>
      <w:r>
        <w:rPr>
          <w:rFonts w:hint="eastAsia"/>
        </w:rPr>
        <w:t>仪器设备</w:t>
      </w:r>
    </w:p>
    <w:p w14:paraId="3263AB94">
      <w:pPr>
        <w:pStyle w:val="23"/>
      </w:pPr>
      <w:r>
        <w:rPr>
          <w:rFonts w:hint="eastAsia"/>
        </w:rPr>
        <w:t>见4.3.2</w:t>
      </w:r>
    </w:p>
    <w:p w14:paraId="3951A5FA">
      <w:pPr>
        <w:pStyle w:val="47"/>
        <w:spacing w:before="156" w:after="156"/>
        <w:ind w:left="0"/>
        <w:rPr>
          <w:rFonts w:hint="eastAsia"/>
        </w:rPr>
      </w:pPr>
      <w:r>
        <w:rPr>
          <w:rFonts w:hint="eastAsia"/>
        </w:rPr>
        <w:t>试验方法</w:t>
      </w:r>
    </w:p>
    <w:p w14:paraId="1002232C">
      <w:pPr>
        <w:pStyle w:val="23"/>
        <w:rPr>
          <w:rFonts w:ascii="Times New Roman"/>
        </w:rPr>
      </w:pPr>
      <w:r>
        <w:rPr>
          <w:rFonts w:ascii="Times New Roman"/>
        </w:rPr>
        <w:t>按照4.3.1和4.3.2的方法，测试信噪比和均匀性，测试结果与随附文件中规定的信噪比和均匀性要求值进行比较。</w:t>
      </w:r>
    </w:p>
    <w:p w14:paraId="2A678AC7">
      <w:pPr>
        <w:pStyle w:val="43"/>
        <w:ind w:left="0"/>
        <w:rPr>
          <w:rFonts w:ascii="Times New Roman"/>
        </w:rPr>
      </w:pPr>
      <w:r>
        <w:rPr>
          <w:rFonts w:ascii="Times New Roman"/>
        </w:rPr>
        <w:t>移动前后的图像质量</w:t>
      </w:r>
    </w:p>
    <w:p w14:paraId="618D3E74">
      <w:pPr>
        <w:pStyle w:val="47"/>
        <w:spacing w:before="156" w:after="156"/>
        <w:ind w:left="0"/>
      </w:pPr>
      <w:r>
        <w:rPr>
          <w:rFonts w:hint="eastAsia"/>
        </w:rPr>
        <w:t>试验条件</w:t>
      </w:r>
    </w:p>
    <w:p w14:paraId="694A44F6">
      <w:pPr>
        <w:pStyle w:val="23"/>
      </w:pPr>
      <w:r>
        <w:rPr>
          <w:rFonts w:hint="eastAsia"/>
        </w:rPr>
        <w:t>设备按照说明书规定的使用环境条件进行测试，如温度：25℃±5℃；相对湿度：30%~70%</w:t>
      </w:r>
    </w:p>
    <w:p w14:paraId="64E4DD86">
      <w:pPr>
        <w:pStyle w:val="47"/>
        <w:spacing w:before="156" w:after="156"/>
        <w:ind w:left="0"/>
      </w:pPr>
      <w:r>
        <w:rPr>
          <w:rFonts w:hint="eastAsia"/>
        </w:rPr>
        <w:t>仪器设备</w:t>
      </w:r>
    </w:p>
    <w:p w14:paraId="3B133C8A">
      <w:pPr>
        <w:pStyle w:val="23"/>
      </w:pPr>
      <w:r>
        <w:rPr>
          <w:rFonts w:hint="eastAsia"/>
        </w:rPr>
        <w:t>见4.3.2</w:t>
      </w:r>
    </w:p>
    <w:p w14:paraId="470F7729">
      <w:pPr>
        <w:pStyle w:val="47"/>
        <w:spacing w:before="156" w:after="156"/>
        <w:ind w:left="0"/>
        <w:rPr>
          <w:rFonts w:hint="eastAsia"/>
        </w:rPr>
      </w:pPr>
      <w:r>
        <w:rPr>
          <w:rFonts w:hint="eastAsia"/>
        </w:rPr>
        <w:t>试验方法</w:t>
      </w:r>
    </w:p>
    <w:p w14:paraId="7BE038D4">
      <w:pPr>
        <w:pStyle w:val="23"/>
        <w:rPr>
          <w:rFonts w:ascii="Times New Roman"/>
        </w:rPr>
      </w:pPr>
      <w:r>
        <w:rPr>
          <w:rFonts w:ascii="Times New Roman"/>
        </w:rPr>
        <w:t>分别在移动装置移动前和移动后，按照4.3.1和4.3.2的方法，测试信噪比和均匀性，测试结果与随附文件中规定的信噪比和均匀性要求值进行比较。</w:t>
      </w:r>
    </w:p>
    <w:p w14:paraId="310C5AF3">
      <w:pPr>
        <w:pStyle w:val="43"/>
        <w:spacing w:before="0" w:beforeLines="0" w:after="0" w:afterLines="0"/>
        <w:ind w:left="0"/>
        <w:rPr>
          <w:rFonts w:ascii="Times New Roman"/>
        </w:rPr>
      </w:pPr>
      <w:r>
        <w:rPr>
          <w:rFonts w:ascii="Times New Roman"/>
        </w:rPr>
        <w:t>距离显示值</w:t>
      </w:r>
    </w:p>
    <w:p w14:paraId="74E960AE">
      <w:pPr>
        <w:pStyle w:val="47"/>
        <w:spacing w:before="156" w:after="156"/>
        <w:ind w:left="0"/>
      </w:pPr>
      <w:r>
        <w:rPr>
          <w:rFonts w:hint="eastAsia"/>
        </w:rPr>
        <w:t>试验条件</w:t>
      </w:r>
    </w:p>
    <w:p w14:paraId="17E00F7A">
      <w:pPr>
        <w:pStyle w:val="23"/>
      </w:pPr>
      <w:r>
        <w:rPr>
          <w:rFonts w:hint="eastAsia"/>
        </w:rPr>
        <w:t>设备按照说明书规定的使用环境条件进行测试，如温度：25℃±5℃；相对湿度：30%~70%</w:t>
      </w:r>
    </w:p>
    <w:p w14:paraId="7008DC5C">
      <w:pPr>
        <w:pStyle w:val="47"/>
        <w:spacing w:before="156" w:after="156"/>
        <w:ind w:left="0"/>
      </w:pPr>
      <w:r>
        <w:rPr>
          <w:rFonts w:hint="eastAsia"/>
        </w:rPr>
        <w:t>仪器设备</w:t>
      </w:r>
    </w:p>
    <w:p w14:paraId="06CC4576">
      <w:pPr>
        <w:pStyle w:val="23"/>
      </w:pPr>
      <w:r>
        <w:rPr>
          <w:rFonts w:hint="eastAsia"/>
        </w:rPr>
        <w:t>使用校准过的长度量具</w:t>
      </w:r>
    </w:p>
    <w:p w14:paraId="0C466437">
      <w:pPr>
        <w:pStyle w:val="47"/>
        <w:spacing w:before="156" w:after="156"/>
        <w:ind w:left="0"/>
        <w:rPr>
          <w:rFonts w:hint="eastAsia"/>
        </w:rPr>
      </w:pPr>
      <w:r>
        <w:rPr>
          <w:rFonts w:hint="eastAsia"/>
        </w:rPr>
        <w:t>试验方法</w:t>
      </w:r>
    </w:p>
    <w:p w14:paraId="48397065">
      <w:pPr>
        <w:pStyle w:val="23"/>
        <w:rPr>
          <w:rFonts w:ascii="Times New Roman" w:eastAsiaTheme="minorEastAsia"/>
        </w:rPr>
      </w:pPr>
      <w:r>
        <w:rPr>
          <w:rFonts w:ascii="Times New Roman"/>
        </w:rPr>
        <w:t>具有预估距离显示功能的移动装置，按照随附文件的工作条件，通过实测比较预估距离和实际运动距离的大小。</w:t>
      </w:r>
    </w:p>
    <w:sectPr>
      <w:headerReference r:id="rId3" w:type="default"/>
      <w:footerReference r:id="rId4"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168F">
    <w:pPr>
      <w:pStyle w:val="44"/>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245B">
    <w:pPr>
      <w:pStyle w:val="45"/>
    </w:pPr>
    <w:r>
      <w:rPr>
        <w:rFonts w:hint="eastAsia"/>
      </w:rPr>
      <w:t>YY</w:t>
    </w:r>
    <w:r>
      <w:t>/T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
    <w:nsid w:val="0D983844"/>
    <w:multiLevelType w:val="multilevel"/>
    <w:tmpl w:val="0D983844"/>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7"/>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FD90078"/>
    <w:multiLevelType w:val="multilevel"/>
    <w:tmpl w:val="1FD90078"/>
    <w:lvl w:ilvl="0" w:tentative="0">
      <w:start w:val="1"/>
      <w:numFmt w:val="bullet"/>
      <w:lvlText w:val=""/>
      <w:lvlJc w:val="left"/>
      <w:pPr>
        <w:tabs>
          <w:tab w:val="left" w:pos="1271"/>
        </w:tabs>
        <w:ind w:left="1271" w:hanging="420"/>
      </w:pPr>
      <w:rPr>
        <w:rFonts w:hint="default" w:ascii="Wingdings" w:hAnsi="Wingdings"/>
      </w:rPr>
    </w:lvl>
    <w:lvl w:ilvl="1" w:tentative="0">
      <w:start w:val="1"/>
      <w:numFmt w:val="bullet"/>
      <w:lvlText w:val=""/>
      <w:lvlJc w:val="left"/>
      <w:pPr>
        <w:tabs>
          <w:tab w:val="left" w:pos="1691"/>
        </w:tabs>
        <w:ind w:left="1691" w:hanging="420"/>
      </w:pPr>
      <w:rPr>
        <w:rFonts w:hint="default" w:ascii="Wingdings" w:hAnsi="Wingdings"/>
      </w:rPr>
    </w:lvl>
    <w:lvl w:ilvl="2" w:tentative="0">
      <w:start w:val="1"/>
      <w:numFmt w:val="bullet"/>
      <w:lvlText w:val=""/>
      <w:lvlJc w:val="left"/>
      <w:pPr>
        <w:tabs>
          <w:tab w:val="left" w:pos="2111"/>
        </w:tabs>
        <w:ind w:left="2111" w:hanging="420"/>
      </w:pPr>
      <w:rPr>
        <w:rFonts w:hint="default" w:ascii="Wingdings" w:hAnsi="Wingdings"/>
      </w:rPr>
    </w:lvl>
    <w:lvl w:ilvl="3" w:tentative="0">
      <w:start w:val="1"/>
      <w:numFmt w:val="bullet"/>
      <w:lvlText w:val=""/>
      <w:lvlJc w:val="left"/>
      <w:pPr>
        <w:tabs>
          <w:tab w:val="left" w:pos="2531"/>
        </w:tabs>
        <w:ind w:left="2531" w:hanging="420"/>
      </w:pPr>
      <w:rPr>
        <w:rFonts w:hint="default" w:ascii="Wingdings" w:hAnsi="Wingdings"/>
      </w:rPr>
    </w:lvl>
    <w:lvl w:ilvl="4" w:tentative="0">
      <w:start w:val="1"/>
      <w:numFmt w:val="bullet"/>
      <w:lvlText w:val=""/>
      <w:lvlJc w:val="left"/>
      <w:pPr>
        <w:tabs>
          <w:tab w:val="left" w:pos="2951"/>
        </w:tabs>
        <w:ind w:left="2951" w:hanging="420"/>
      </w:pPr>
      <w:rPr>
        <w:rFonts w:hint="default" w:ascii="Wingdings" w:hAnsi="Wingdings"/>
      </w:rPr>
    </w:lvl>
    <w:lvl w:ilvl="5" w:tentative="0">
      <w:start w:val="1"/>
      <w:numFmt w:val="bullet"/>
      <w:lvlText w:val=""/>
      <w:lvlJc w:val="left"/>
      <w:pPr>
        <w:tabs>
          <w:tab w:val="left" w:pos="3371"/>
        </w:tabs>
        <w:ind w:left="3371" w:hanging="420"/>
      </w:pPr>
      <w:rPr>
        <w:rFonts w:hint="default" w:ascii="Wingdings" w:hAnsi="Wingdings"/>
      </w:rPr>
    </w:lvl>
    <w:lvl w:ilvl="6" w:tentative="0">
      <w:start w:val="1"/>
      <w:numFmt w:val="bullet"/>
      <w:lvlText w:val=""/>
      <w:lvlJc w:val="left"/>
      <w:pPr>
        <w:tabs>
          <w:tab w:val="left" w:pos="3791"/>
        </w:tabs>
        <w:ind w:left="3791" w:hanging="420"/>
      </w:pPr>
      <w:rPr>
        <w:rFonts w:hint="default" w:ascii="Wingdings" w:hAnsi="Wingdings"/>
      </w:rPr>
    </w:lvl>
    <w:lvl w:ilvl="7" w:tentative="0">
      <w:start w:val="1"/>
      <w:numFmt w:val="bullet"/>
      <w:lvlText w:val=""/>
      <w:lvlJc w:val="left"/>
      <w:pPr>
        <w:tabs>
          <w:tab w:val="left" w:pos="4211"/>
        </w:tabs>
        <w:ind w:left="4211" w:hanging="420"/>
      </w:pPr>
      <w:rPr>
        <w:rFonts w:hint="default" w:ascii="Wingdings" w:hAnsi="Wingdings"/>
      </w:rPr>
    </w:lvl>
    <w:lvl w:ilvl="8" w:tentative="0">
      <w:start w:val="1"/>
      <w:numFmt w:val="bullet"/>
      <w:lvlText w:val=""/>
      <w:lvlJc w:val="left"/>
      <w:pPr>
        <w:tabs>
          <w:tab w:val="left" w:pos="4631"/>
        </w:tabs>
        <w:ind w:left="4631" w:hanging="420"/>
      </w:pPr>
      <w:rPr>
        <w:rFonts w:hint="default" w:ascii="Wingdings" w:hAnsi="Wingdings"/>
      </w:rPr>
    </w:lvl>
  </w:abstractNum>
  <w:abstractNum w:abstractNumId="6">
    <w:nsid w:val="22827D5B"/>
    <w:multiLevelType w:val="multilevel"/>
    <w:tmpl w:val="22827D5B"/>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84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4"/>
  </w:num>
  <w:num w:numId="3">
    <w:abstractNumId w:val="8"/>
  </w:num>
  <w:num w:numId="4">
    <w:abstractNumId w:val="1"/>
  </w:num>
  <w:num w:numId="5">
    <w:abstractNumId w:val="10"/>
  </w:num>
  <w:num w:numId="6">
    <w:abstractNumId w:val="16"/>
  </w:num>
  <w:num w:numId="7">
    <w:abstractNumId w:val="0"/>
  </w:num>
  <w:num w:numId="8">
    <w:abstractNumId w:val="11"/>
  </w:num>
  <w:num w:numId="9">
    <w:abstractNumId w:val="6"/>
  </w:num>
  <w:num w:numId="10">
    <w:abstractNumId w:val="3"/>
  </w:num>
  <w:num w:numId="11">
    <w:abstractNumId w:val="14"/>
  </w:num>
  <w:num w:numId="12">
    <w:abstractNumId w:val="12"/>
  </w:num>
  <w:num w:numId="13">
    <w:abstractNumId w:val="15"/>
  </w:num>
  <w:num w:numId="14">
    <w:abstractNumId w:val="7"/>
  </w:num>
  <w:num w:numId="15">
    <w:abstractNumId w:val="1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OGRhODg5ODg4MDM3NDdkMWYyNzk2MDYwOTE0ZTYifQ=="/>
  </w:docVars>
  <w:rsids>
    <w:rsidRoot w:val="00035925"/>
    <w:rsid w:val="00000244"/>
    <w:rsid w:val="0000185F"/>
    <w:rsid w:val="0000197E"/>
    <w:rsid w:val="00003E46"/>
    <w:rsid w:val="000051D0"/>
    <w:rsid w:val="000057D5"/>
    <w:rsid w:val="0000586F"/>
    <w:rsid w:val="00005931"/>
    <w:rsid w:val="000062C5"/>
    <w:rsid w:val="000078B6"/>
    <w:rsid w:val="00011B71"/>
    <w:rsid w:val="00012201"/>
    <w:rsid w:val="000123FC"/>
    <w:rsid w:val="000124D3"/>
    <w:rsid w:val="00013D86"/>
    <w:rsid w:val="00013E02"/>
    <w:rsid w:val="00013ECC"/>
    <w:rsid w:val="00014043"/>
    <w:rsid w:val="0001605A"/>
    <w:rsid w:val="00016D59"/>
    <w:rsid w:val="0002143C"/>
    <w:rsid w:val="0002318F"/>
    <w:rsid w:val="0002542E"/>
    <w:rsid w:val="000256DA"/>
    <w:rsid w:val="00025A65"/>
    <w:rsid w:val="00026C31"/>
    <w:rsid w:val="0002722E"/>
    <w:rsid w:val="00027280"/>
    <w:rsid w:val="0002778F"/>
    <w:rsid w:val="00027C10"/>
    <w:rsid w:val="000320A7"/>
    <w:rsid w:val="000328D6"/>
    <w:rsid w:val="0003447E"/>
    <w:rsid w:val="00034828"/>
    <w:rsid w:val="000350E2"/>
    <w:rsid w:val="00035925"/>
    <w:rsid w:val="00035BB5"/>
    <w:rsid w:val="00037375"/>
    <w:rsid w:val="00040DA6"/>
    <w:rsid w:val="0004115D"/>
    <w:rsid w:val="00041B39"/>
    <w:rsid w:val="0004565E"/>
    <w:rsid w:val="00047094"/>
    <w:rsid w:val="000472DB"/>
    <w:rsid w:val="00050043"/>
    <w:rsid w:val="00050A9B"/>
    <w:rsid w:val="00051B2E"/>
    <w:rsid w:val="00052649"/>
    <w:rsid w:val="00053D37"/>
    <w:rsid w:val="000541C2"/>
    <w:rsid w:val="000564BF"/>
    <w:rsid w:val="00063508"/>
    <w:rsid w:val="00063AF7"/>
    <w:rsid w:val="00067109"/>
    <w:rsid w:val="00067CDF"/>
    <w:rsid w:val="000701C0"/>
    <w:rsid w:val="00070A86"/>
    <w:rsid w:val="000729DB"/>
    <w:rsid w:val="0007376D"/>
    <w:rsid w:val="0007396C"/>
    <w:rsid w:val="00073DE6"/>
    <w:rsid w:val="000748BF"/>
    <w:rsid w:val="00074FBE"/>
    <w:rsid w:val="0007613A"/>
    <w:rsid w:val="00077EC5"/>
    <w:rsid w:val="000822E9"/>
    <w:rsid w:val="00083A09"/>
    <w:rsid w:val="00083FC2"/>
    <w:rsid w:val="00085131"/>
    <w:rsid w:val="000869F3"/>
    <w:rsid w:val="0009005E"/>
    <w:rsid w:val="00092857"/>
    <w:rsid w:val="00095010"/>
    <w:rsid w:val="00095E4E"/>
    <w:rsid w:val="00096808"/>
    <w:rsid w:val="00096D8B"/>
    <w:rsid w:val="00097F1E"/>
    <w:rsid w:val="000A0EC9"/>
    <w:rsid w:val="000A18C1"/>
    <w:rsid w:val="000A20A9"/>
    <w:rsid w:val="000A3EF4"/>
    <w:rsid w:val="000A48B1"/>
    <w:rsid w:val="000A4C8C"/>
    <w:rsid w:val="000A606B"/>
    <w:rsid w:val="000A700B"/>
    <w:rsid w:val="000A745D"/>
    <w:rsid w:val="000A75F8"/>
    <w:rsid w:val="000B0B06"/>
    <w:rsid w:val="000B19A4"/>
    <w:rsid w:val="000B2C94"/>
    <w:rsid w:val="000B3143"/>
    <w:rsid w:val="000B34A0"/>
    <w:rsid w:val="000B3857"/>
    <w:rsid w:val="000B5633"/>
    <w:rsid w:val="000B57B7"/>
    <w:rsid w:val="000C00F7"/>
    <w:rsid w:val="000C30A4"/>
    <w:rsid w:val="000C347B"/>
    <w:rsid w:val="000C37F8"/>
    <w:rsid w:val="000C55AC"/>
    <w:rsid w:val="000C67A1"/>
    <w:rsid w:val="000C6B05"/>
    <w:rsid w:val="000C6DD6"/>
    <w:rsid w:val="000C73D4"/>
    <w:rsid w:val="000C7EB5"/>
    <w:rsid w:val="000D0C61"/>
    <w:rsid w:val="000D24AE"/>
    <w:rsid w:val="000D2CF3"/>
    <w:rsid w:val="000D3D4C"/>
    <w:rsid w:val="000D4E48"/>
    <w:rsid w:val="000D4F51"/>
    <w:rsid w:val="000D718B"/>
    <w:rsid w:val="000D741A"/>
    <w:rsid w:val="000E0C46"/>
    <w:rsid w:val="000E21FD"/>
    <w:rsid w:val="000E2ABF"/>
    <w:rsid w:val="000E61DE"/>
    <w:rsid w:val="000E7D98"/>
    <w:rsid w:val="000F0278"/>
    <w:rsid w:val="000F030C"/>
    <w:rsid w:val="000F129C"/>
    <w:rsid w:val="000F40B7"/>
    <w:rsid w:val="000F459E"/>
    <w:rsid w:val="000F4A6C"/>
    <w:rsid w:val="000F6A4B"/>
    <w:rsid w:val="000F7211"/>
    <w:rsid w:val="00100134"/>
    <w:rsid w:val="001034D4"/>
    <w:rsid w:val="001056DE"/>
    <w:rsid w:val="001063F4"/>
    <w:rsid w:val="00106D0C"/>
    <w:rsid w:val="00107BAD"/>
    <w:rsid w:val="001103D9"/>
    <w:rsid w:val="001124C0"/>
    <w:rsid w:val="00113912"/>
    <w:rsid w:val="00115597"/>
    <w:rsid w:val="00115845"/>
    <w:rsid w:val="00116136"/>
    <w:rsid w:val="001205B1"/>
    <w:rsid w:val="001213BD"/>
    <w:rsid w:val="00122A06"/>
    <w:rsid w:val="001234B9"/>
    <w:rsid w:val="00123734"/>
    <w:rsid w:val="001267F9"/>
    <w:rsid w:val="00126CF9"/>
    <w:rsid w:val="001302F8"/>
    <w:rsid w:val="00130D59"/>
    <w:rsid w:val="0013175F"/>
    <w:rsid w:val="00133277"/>
    <w:rsid w:val="00134BF4"/>
    <w:rsid w:val="001363B2"/>
    <w:rsid w:val="001365C1"/>
    <w:rsid w:val="00136DBE"/>
    <w:rsid w:val="00137A4A"/>
    <w:rsid w:val="0014367F"/>
    <w:rsid w:val="001457EC"/>
    <w:rsid w:val="001466B7"/>
    <w:rsid w:val="00146FFD"/>
    <w:rsid w:val="00147BB4"/>
    <w:rsid w:val="00150AAE"/>
    <w:rsid w:val="001512B4"/>
    <w:rsid w:val="0015171E"/>
    <w:rsid w:val="00151B30"/>
    <w:rsid w:val="00153184"/>
    <w:rsid w:val="0015335F"/>
    <w:rsid w:val="00154084"/>
    <w:rsid w:val="00154790"/>
    <w:rsid w:val="00155BD1"/>
    <w:rsid w:val="001620A5"/>
    <w:rsid w:val="00162AFE"/>
    <w:rsid w:val="001642E9"/>
    <w:rsid w:val="00164BDF"/>
    <w:rsid w:val="00164E53"/>
    <w:rsid w:val="0016699D"/>
    <w:rsid w:val="00167088"/>
    <w:rsid w:val="0016771A"/>
    <w:rsid w:val="00170EB7"/>
    <w:rsid w:val="00171F6F"/>
    <w:rsid w:val="00172070"/>
    <w:rsid w:val="00172FB5"/>
    <w:rsid w:val="00173792"/>
    <w:rsid w:val="00173842"/>
    <w:rsid w:val="00175159"/>
    <w:rsid w:val="00176208"/>
    <w:rsid w:val="0018211B"/>
    <w:rsid w:val="0018388E"/>
    <w:rsid w:val="00183B1F"/>
    <w:rsid w:val="001840D3"/>
    <w:rsid w:val="00185BE6"/>
    <w:rsid w:val="0019004F"/>
    <w:rsid w:val="001900F8"/>
    <w:rsid w:val="00191258"/>
    <w:rsid w:val="00192680"/>
    <w:rsid w:val="00193037"/>
    <w:rsid w:val="001937A9"/>
    <w:rsid w:val="00193A2C"/>
    <w:rsid w:val="00194CA0"/>
    <w:rsid w:val="001A0117"/>
    <w:rsid w:val="001A0DEE"/>
    <w:rsid w:val="001A12AF"/>
    <w:rsid w:val="001A183C"/>
    <w:rsid w:val="001A1CA6"/>
    <w:rsid w:val="001A2592"/>
    <w:rsid w:val="001A288E"/>
    <w:rsid w:val="001A320B"/>
    <w:rsid w:val="001A3BF6"/>
    <w:rsid w:val="001A47B6"/>
    <w:rsid w:val="001A4BD9"/>
    <w:rsid w:val="001A580F"/>
    <w:rsid w:val="001A7129"/>
    <w:rsid w:val="001A7D3C"/>
    <w:rsid w:val="001A7DE4"/>
    <w:rsid w:val="001B09AB"/>
    <w:rsid w:val="001B19CA"/>
    <w:rsid w:val="001B28FD"/>
    <w:rsid w:val="001B6DC2"/>
    <w:rsid w:val="001B7B97"/>
    <w:rsid w:val="001B7D1E"/>
    <w:rsid w:val="001C1486"/>
    <w:rsid w:val="001C149C"/>
    <w:rsid w:val="001C21AC"/>
    <w:rsid w:val="001C22F0"/>
    <w:rsid w:val="001C47BA"/>
    <w:rsid w:val="001C59EA"/>
    <w:rsid w:val="001C5B3A"/>
    <w:rsid w:val="001D039A"/>
    <w:rsid w:val="001D103A"/>
    <w:rsid w:val="001D29F4"/>
    <w:rsid w:val="001D2F8A"/>
    <w:rsid w:val="001D406C"/>
    <w:rsid w:val="001D41EE"/>
    <w:rsid w:val="001D56A9"/>
    <w:rsid w:val="001D7881"/>
    <w:rsid w:val="001E0380"/>
    <w:rsid w:val="001E13B1"/>
    <w:rsid w:val="001E2EF1"/>
    <w:rsid w:val="001E3A0E"/>
    <w:rsid w:val="001E5F19"/>
    <w:rsid w:val="001E73CB"/>
    <w:rsid w:val="001E7DA2"/>
    <w:rsid w:val="001F03FF"/>
    <w:rsid w:val="001F0C73"/>
    <w:rsid w:val="001F252F"/>
    <w:rsid w:val="001F3A19"/>
    <w:rsid w:val="001F4263"/>
    <w:rsid w:val="001F68E2"/>
    <w:rsid w:val="00200593"/>
    <w:rsid w:val="00201C5A"/>
    <w:rsid w:val="00202069"/>
    <w:rsid w:val="00203B4A"/>
    <w:rsid w:val="00205094"/>
    <w:rsid w:val="002069EE"/>
    <w:rsid w:val="00207369"/>
    <w:rsid w:val="00207A73"/>
    <w:rsid w:val="00207CE4"/>
    <w:rsid w:val="002147D6"/>
    <w:rsid w:val="0021684A"/>
    <w:rsid w:val="00216ED9"/>
    <w:rsid w:val="002171EB"/>
    <w:rsid w:val="00220568"/>
    <w:rsid w:val="00220861"/>
    <w:rsid w:val="00220E00"/>
    <w:rsid w:val="002211D8"/>
    <w:rsid w:val="002247A5"/>
    <w:rsid w:val="00227A0E"/>
    <w:rsid w:val="00231F8A"/>
    <w:rsid w:val="00234467"/>
    <w:rsid w:val="002351EC"/>
    <w:rsid w:val="00237D8D"/>
    <w:rsid w:val="00241258"/>
    <w:rsid w:val="00241844"/>
    <w:rsid w:val="00241DA2"/>
    <w:rsid w:val="0024775A"/>
    <w:rsid w:val="00247FEE"/>
    <w:rsid w:val="00250E7D"/>
    <w:rsid w:val="00250E9F"/>
    <w:rsid w:val="002565D5"/>
    <w:rsid w:val="0026037D"/>
    <w:rsid w:val="002622C0"/>
    <w:rsid w:val="00264BB6"/>
    <w:rsid w:val="00264F17"/>
    <w:rsid w:val="00271A81"/>
    <w:rsid w:val="002778AE"/>
    <w:rsid w:val="002779C8"/>
    <w:rsid w:val="00277E18"/>
    <w:rsid w:val="00280505"/>
    <w:rsid w:val="00280827"/>
    <w:rsid w:val="0028269A"/>
    <w:rsid w:val="002827A4"/>
    <w:rsid w:val="00283590"/>
    <w:rsid w:val="002849A7"/>
    <w:rsid w:val="00284C46"/>
    <w:rsid w:val="00285F80"/>
    <w:rsid w:val="00286973"/>
    <w:rsid w:val="0029032C"/>
    <w:rsid w:val="002911D5"/>
    <w:rsid w:val="00294E70"/>
    <w:rsid w:val="0029788C"/>
    <w:rsid w:val="00297933"/>
    <w:rsid w:val="002A044D"/>
    <w:rsid w:val="002A1924"/>
    <w:rsid w:val="002A5008"/>
    <w:rsid w:val="002A7420"/>
    <w:rsid w:val="002A7C0C"/>
    <w:rsid w:val="002B0F12"/>
    <w:rsid w:val="002B1308"/>
    <w:rsid w:val="002B2CA0"/>
    <w:rsid w:val="002B4554"/>
    <w:rsid w:val="002B5E2D"/>
    <w:rsid w:val="002C0D48"/>
    <w:rsid w:val="002C72D8"/>
    <w:rsid w:val="002C77B1"/>
    <w:rsid w:val="002D11FA"/>
    <w:rsid w:val="002D496A"/>
    <w:rsid w:val="002D721B"/>
    <w:rsid w:val="002D72AA"/>
    <w:rsid w:val="002E0DDF"/>
    <w:rsid w:val="002E2906"/>
    <w:rsid w:val="002E2D43"/>
    <w:rsid w:val="002E363B"/>
    <w:rsid w:val="002E49C7"/>
    <w:rsid w:val="002E5635"/>
    <w:rsid w:val="002E64C3"/>
    <w:rsid w:val="002E6A2C"/>
    <w:rsid w:val="002E72C5"/>
    <w:rsid w:val="002F1D8C"/>
    <w:rsid w:val="002F21DA"/>
    <w:rsid w:val="002F2851"/>
    <w:rsid w:val="002F6361"/>
    <w:rsid w:val="002F73C6"/>
    <w:rsid w:val="002F77D9"/>
    <w:rsid w:val="0030038C"/>
    <w:rsid w:val="00300D82"/>
    <w:rsid w:val="00301F39"/>
    <w:rsid w:val="0030225A"/>
    <w:rsid w:val="003027C0"/>
    <w:rsid w:val="00304D8C"/>
    <w:rsid w:val="00311041"/>
    <w:rsid w:val="00314D77"/>
    <w:rsid w:val="00315E4F"/>
    <w:rsid w:val="0032124E"/>
    <w:rsid w:val="0032237A"/>
    <w:rsid w:val="00323820"/>
    <w:rsid w:val="00325926"/>
    <w:rsid w:val="00326610"/>
    <w:rsid w:val="00327017"/>
    <w:rsid w:val="00327A8A"/>
    <w:rsid w:val="0033282E"/>
    <w:rsid w:val="0033393F"/>
    <w:rsid w:val="00336610"/>
    <w:rsid w:val="00337827"/>
    <w:rsid w:val="00340E07"/>
    <w:rsid w:val="00341467"/>
    <w:rsid w:val="00343EFD"/>
    <w:rsid w:val="00343F73"/>
    <w:rsid w:val="00345060"/>
    <w:rsid w:val="0034656C"/>
    <w:rsid w:val="00346655"/>
    <w:rsid w:val="003474A5"/>
    <w:rsid w:val="00350D60"/>
    <w:rsid w:val="00350F35"/>
    <w:rsid w:val="00352BF5"/>
    <w:rsid w:val="0035323B"/>
    <w:rsid w:val="0035475B"/>
    <w:rsid w:val="00354BA3"/>
    <w:rsid w:val="00355145"/>
    <w:rsid w:val="003609D2"/>
    <w:rsid w:val="00363F22"/>
    <w:rsid w:val="00364151"/>
    <w:rsid w:val="00364878"/>
    <w:rsid w:val="00367BB5"/>
    <w:rsid w:val="00374EF2"/>
    <w:rsid w:val="00375564"/>
    <w:rsid w:val="00376100"/>
    <w:rsid w:val="0038040C"/>
    <w:rsid w:val="00381A6F"/>
    <w:rsid w:val="00382B4C"/>
    <w:rsid w:val="00383191"/>
    <w:rsid w:val="00385AED"/>
    <w:rsid w:val="00385CAC"/>
    <w:rsid w:val="00386DED"/>
    <w:rsid w:val="003872F9"/>
    <w:rsid w:val="003873DD"/>
    <w:rsid w:val="00390879"/>
    <w:rsid w:val="003912E7"/>
    <w:rsid w:val="00393947"/>
    <w:rsid w:val="00395201"/>
    <w:rsid w:val="00396476"/>
    <w:rsid w:val="003965BF"/>
    <w:rsid w:val="00396894"/>
    <w:rsid w:val="00396997"/>
    <w:rsid w:val="00397D1E"/>
    <w:rsid w:val="003A2275"/>
    <w:rsid w:val="003A2FE6"/>
    <w:rsid w:val="003A4C6B"/>
    <w:rsid w:val="003A6A4F"/>
    <w:rsid w:val="003A7088"/>
    <w:rsid w:val="003B00DF"/>
    <w:rsid w:val="003B053D"/>
    <w:rsid w:val="003B118A"/>
    <w:rsid w:val="003B1275"/>
    <w:rsid w:val="003B1778"/>
    <w:rsid w:val="003B1A81"/>
    <w:rsid w:val="003C11CB"/>
    <w:rsid w:val="003C1AAF"/>
    <w:rsid w:val="003C1F11"/>
    <w:rsid w:val="003C2525"/>
    <w:rsid w:val="003C2ADC"/>
    <w:rsid w:val="003C734B"/>
    <w:rsid w:val="003C75F3"/>
    <w:rsid w:val="003C78A3"/>
    <w:rsid w:val="003D0976"/>
    <w:rsid w:val="003D2559"/>
    <w:rsid w:val="003E0612"/>
    <w:rsid w:val="003E0C6A"/>
    <w:rsid w:val="003E1867"/>
    <w:rsid w:val="003E4138"/>
    <w:rsid w:val="003E5729"/>
    <w:rsid w:val="003F1817"/>
    <w:rsid w:val="003F1DAF"/>
    <w:rsid w:val="003F38ED"/>
    <w:rsid w:val="003F46AD"/>
    <w:rsid w:val="003F4EE0"/>
    <w:rsid w:val="004019EB"/>
    <w:rsid w:val="00402153"/>
    <w:rsid w:val="0040277F"/>
    <w:rsid w:val="00402FC1"/>
    <w:rsid w:val="00404098"/>
    <w:rsid w:val="00407468"/>
    <w:rsid w:val="004074AA"/>
    <w:rsid w:val="004107FC"/>
    <w:rsid w:val="004109C0"/>
    <w:rsid w:val="00411926"/>
    <w:rsid w:val="004130CB"/>
    <w:rsid w:val="004149FD"/>
    <w:rsid w:val="00414C87"/>
    <w:rsid w:val="004150A3"/>
    <w:rsid w:val="00415AE3"/>
    <w:rsid w:val="004179E2"/>
    <w:rsid w:val="00417A40"/>
    <w:rsid w:val="0042015A"/>
    <w:rsid w:val="0042044C"/>
    <w:rsid w:val="0042249C"/>
    <w:rsid w:val="00423764"/>
    <w:rsid w:val="0042491E"/>
    <w:rsid w:val="00425082"/>
    <w:rsid w:val="00425705"/>
    <w:rsid w:val="00425BB7"/>
    <w:rsid w:val="004277FB"/>
    <w:rsid w:val="00430FC2"/>
    <w:rsid w:val="00431C1C"/>
    <w:rsid w:val="00431DEB"/>
    <w:rsid w:val="00433388"/>
    <w:rsid w:val="0043631B"/>
    <w:rsid w:val="00436FC0"/>
    <w:rsid w:val="00437D3E"/>
    <w:rsid w:val="00437E50"/>
    <w:rsid w:val="00440274"/>
    <w:rsid w:val="00445D4C"/>
    <w:rsid w:val="00445D92"/>
    <w:rsid w:val="00445E1A"/>
    <w:rsid w:val="00446577"/>
    <w:rsid w:val="0044699C"/>
    <w:rsid w:val="00446ABD"/>
    <w:rsid w:val="00446B29"/>
    <w:rsid w:val="00453F9A"/>
    <w:rsid w:val="00453FC1"/>
    <w:rsid w:val="00455977"/>
    <w:rsid w:val="0045669B"/>
    <w:rsid w:val="00457C7B"/>
    <w:rsid w:val="004618CD"/>
    <w:rsid w:val="0046340E"/>
    <w:rsid w:val="004637B2"/>
    <w:rsid w:val="00465B96"/>
    <w:rsid w:val="00466053"/>
    <w:rsid w:val="00466204"/>
    <w:rsid w:val="00471E91"/>
    <w:rsid w:val="00473769"/>
    <w:rsid w:val="00474675"/>
    <w:rsid w:val="0047470C"/>
    <w:rsid w:val="0047795C"/>
    <w:rsid w:val="00482134"/>
    <w:rsid w:val="00484664"/>
    <w:rsid w:val="00486032"/>
    <w:rsid w:val="004863EC"/>
    <w:rsid w:val="00486AC8"/>
    <w:rsid w:val="00486E3F"/>
    <w:rsid w:val="0049016E"/>
    <w:rsid w:val="00491536"/>
    <w:rsid w:val="00491ADE"/>
    <w:rsid w:val="00493E78"/>
    <w:rsid w:val="0049548C"/>
    <w:rsid w:val="00495632"/>
    <w:rsid w:val="0049753A"/>
    <w:rsid w:val="004A008F"/>
    <w:rsid w:val="004A21DE"/>
    <w:rsid w:val="004A3392"/>
    <w:rsid w:val="004A35F9"/>
    <w:rsid w:val="004B1596"/>
    <w:rsid w:val="004B24C1"/>
    <w:rsid w:val="004B303E"/>
    <w:rsid w:val="004B448A"/>
    <w:rsid w:val="004B4807"/>
    <w:rsid w:val="004B5C2D"/>
    <w:rsid w:val="004B7685"/>
    <w:rsid w:val="004C0045"/>
    <w:rsid w:val="004C0F5D"/>
    <w:rsid w:val="004C1987"/>
    <w:rsid w:val="004C292F"/>
    <w:rsid w:val="004C451C"/>
    <w:rsid w:val="004C5210"/>
    <w:rsid w:val="004D3891"/>
    <w:rsid w:val="004D38AA"/>
    <w:rsid w:val="004D450D"/>
    <w:rsid w:val="004D5057"/>
    <w:rsid w:val="004D53F0"/>
    <w:rsid w:val="004E45D3"/>
    <w:rsid w:val="004F030E"/>
    <w:rsid w:val="004F0E28"/>
    <w:rsid w:val="004F1D8A"/>
    <w:rsid w:val="004F5A98"/>
    <w:rsid w:val="004F639D"/>
    <w:rsid w:val="00500175"/>
    <w:rsid w:val="0050199C"/>
    <w:rsid w:val="00503980"/>
    <w:rsid w:val="00503B80"/>
    <w:rsid w:val="005063A8"/>
    <w:rsid w:val="00506E0C"/>
    <w:rsid w:val="00507561"/>
    <w:rsid w:val="00510280"/>
    <w:rsid w:val="00512B95"/>
    <w:rsid w:val="00513D73"/>
    <w:rsid w:val="00513E08"/>
    <w:rsid w:val="00513FB3"/>
    <w:rsid w:val="00514A43"/>
    <w:rsid w:val="005174E5"/>
    <w:rsid w:val="00522393"/>
    <w:rsid w:val="00522620"/>
    <w:rsid w:val="005229F5"/>
    <w:rsid w:val="00522FC0"/>
    <w:rsid w:val="0052343E"/>
    <w:rsid w:val="0052452A"/>
    <w:rsid w:val="00525656"/>
    <w:rsid w:val="005267C6"/>
    <w:rsid w:val="00531E17"/>
    <w:rsid w:val="00534C02"/>
    <w:rsid w:val="005351D4"/>
    <w:rsid w:val="005401FF"/>
    <w:rsid w:val="0054227D"/>
    <w:rsid w:val="0054264B"/>
    <w:rsid w:val="00542F6A"/>
    <w:rsid w:val="005431B1"/>
    <w:rsid w:val="00543786"/>
    <w:rsid w:val="00544005"/>
    <w:rsid w:val="00545783"/>
    <w:rsid w:val="00545F8D"/>
    <w:rsid w:val="005461D1"/>
    <w:rsid w:val="005477B8"/>
    <w:rsid w:val="00550489"/>
    <w:rsid w:val="00551DC7"/>
    <w:rsid w:val="00553044"/>
    <w:rsid w:val="005533D7"/>
    <w:rsid w:val="00553642"/>
    <w:rsid w:val="00554393"/>
    <w:rsid w:val="00554492"/>
    <w:rsid w:val="005553DF"/>
    <w:rsid w:val="0055598C"/>
    <w:rsid w:val="00555CCB"/>
    <w:rsid w:val="00560CB3"/>
    <w:rsid w:val="0056713F"/>
    <w:rsid w:val="005676FE"/>
    <w:rsid w:val="00567E4F"/>
    <w:rsid w:val="005703DE"/>
    <w:rsid w:val="005734F1"/>
    <w:rsid w:val="00574901"/>
    <w:rsid w:val="00577C6C"/>
    <w:rsid w:val="00580A6E"/>
    <w:rsid w:val="005820C3"/>
    <w:rsid w:val="0058464E"/>
    <w:rsid w:val="0058549C"/>
    <w:rsid w:val="00590049"/>
    <w:rsid w:val="00593B48"/>
    <w:rsid w:val="005A004A"/>
    <w:rsid w:val="005A01CB"/>
    <w:rsid w:val="005A0A57"/>
    <w:rsid w:val="005A2EF2"/>
    <w:rsid w:val="005A3944"/>
    <w:rsid w:val="005A3E67"/>
    <w:rsid w:val="005A4FF8"/>
    <w:rsid w:val="005A58FF"/>
    <w:rsid w:val="005A5EAF"/>
    <w:rsid w:val="005A64C0"/>
    <w:rsid w:val="005B128F"/>
    <w:rsid w:val="005B3C11"/>
    <w:rsid w:val="005B4175"/>
    <w:rsid w:val="005B4868"/>
    <w:rsid w:val="005B682A"/>
    <w:rsid w:val="005B6AC3"/>
    <w:rsid w:val="005B6F91"/>
    <w:rsid w:val="005C1C28"/>
    <w:rsid w:val="005C3997"/>
    <w:rsid w:val="005C6DB5"/>
    <w:rsid w:val="005C757B"/>
    <w:rsid w:val="005C76F7"/>
    <w:rsid w:val="005D15C5"/>
    <w:rsid w:val="005D1BCC"/>
    <w:rsid w:val="005D23D4"/>
    <w:rsid w:val="005D675C"/>
    <w:rsid w:val="005E069C"/>
    <w:rsid w:val="005E19E7"/>
    <w:rsid w:val="005E5DC9"/>
    <w:rsid w:val="005E6D26"/>
    <w:rsid w:val="005E7FF6"/>
    <w:rsid w:val="005F0D35"/>
    <w:rsid w:val="005F1334"/>
    <w:rsid w:val="005F16BB"/>
    <w:rsid w:val="005F2508"/>
    <w:rsid w:val="005F2A75"/>
    <w:rsid w:val="005F2AAE"/>
    <w:rsid w:val="005F3326"/>
    <w:rsid w:val="005F492D"/>
    <w:rsid w:val="005F5515"/>
    <w:rsid w:val="0060458A"/>
    <w:rsid w:val="0060552A"/>
    <w:rsid w:val="006129B0"/>
    <w:rsid w:val="00614E7E"/>
    <w:rsid w:val="00617068"/>
    <w:rsid w:val="0061716C"/>
    <w:rsid w:val="006200EF"/>
    <w:rsid w:val="006208C3"/>
    <w:rsid w:val="006229D0"/>
    <w:rsid w:val="006243A1"/>
    <w:rsid w:val="00627C2A"/>
    <w:rsid w:val="00632E56"/>
    <w:rsid w:val="00635CBA"/>
    <w:rsid w:val="0064086C"/>
    <w:rsid w:val="0064338B"/>
    <w:rsid w:val="0064414E"/>
    <w:rsid w:val="00646542"/>
    <w:rsid w:val="00646E32"/>
    <w:rsid w:val="006504F4"/>
    <w:rsid w:val="00650D28"/>
    <w:rsid w:val="00652B73"/>
    <w:rsid w:val="00654BC9"/>
    <w:rsid w:val="006552FD"/>
    <w:rsid w:val="00655FDC"/>
    <w:rsid w:val="00656268"/>
    <w:rsid w:val="00657E8C"/>
    <w:rsid w:val="0066066C"/>
    <w:rsid w:val="006621A0"/>
    <w:rsid w:val="00663AF3"/>
    <w:rsid w:val="00666B6C"/>
    <w:rsid w:val="00667278"/>
    <w:rsid w:val="0067139C"/>
    <w:rsid w:val="00673491"/>
    <w:rsid w:val="00675E08"/>
    <w:rsid w:val="006803D3"/>
    <w:rsid w:val="0068209B"/>
    <w:rsid w:val="00682682"/>
    <w:rsid w:val="00682702"/>
    <w:rsid w:val="00682CAE"/>
    <w:rsid w:val="00683E74"/>
    <w:rsid w:val="00685B45"/>
    <w:rsid w:val="00687487"/>
    <w:rsid w:val="006911DA"/>
    <w:rsid w:val="00692368"/>
    <w:rsid w:val="00692BB8"/>
    <w:rsid w:val="006975CF"/>
    <w:rsid w:val="00697D2A"/>
    <w:rsid w:val="006A2EBC"/>
    <w:rsid w:val="006A4782"/>
    <w:rsid w:val="006A4FFB"/>
    <w:rsid w:val="006A5EA0"/>
    <w:rsid w:val="006A6705"/>
    <w:rsid w:val="006A7375"/>
    <w:rsid w:val="006A783B"/>
    <w:rsid w:val="006A7B33"/>
    <w:rsid w:val="006B0CC6"/>
    <w:rsid w:val="006B1202"/>
    <w:rsid w:val="006B29E4"/>
    <w:rsid w:val="006B497E"/>
    <w:rsid w:val="006B4E13"/>
    <w:rsid w:val="006B70D3"/>
    <w:rsid w:val="006B75DD"/>
    <w:rsid w:val="006C13CC"/>
    <w:rsid w:val="006C3B0A"/>
    <w:rsid w:val="006C5593"/>
    <w:rsid w:val="006C67E0"/>
    <w:rsid w:val="006C6C0F"/>
    <w:rsid w:val="006C7ABA"/>
    <w:rsid w:val="006D0D60"/>
    <w:rsid w:val="006D1122"/>
    <w:rsid w:val="006D271B"/>
    <w:rsid w:val="006D34F9"/>
    <w:rsid w:val="006D3C00"/>
    <w:rsid w:val="006D6CF4"/>
    <w:rsid w:val="006D74DE"/>
    <w:rsid w:val="006D77BC"/>
    <w:rsid w:val="006D7B6C"/>
    <w:rsid w:val="006E065B"/>
    <w:rsid w:val="006E100A"/>
    <w:rsid w:val="006E3675"/>
    <w:rsid w:val="006E46DF"/>
    <w:rsid w:val="006E4A7F"/>
    <w:rsid w:val="006E578F"/>
    <w:rsid w:val="006F13AE"/>
    <w:rsid w:val="006F2AF8"/>
    <w:rsid w:val="006F2FE2"/>
    <w:rsid w:val="006F4155"/>
    <w:rsid w:val="006F4E22"/>
    <w:rsid w:val="0070186D"/>
    <w:rsid w:val="00703BAB"/>
    <w:rsid w:val="00704DF6"/>
    <w:rsid w:val="00705569"/>
    <w:rsid w:val="00705C62"/>
    <w:rsid w:val="00706214"/>
    <w:rsid w:val="0070651C"/>
    <w:rsid w:val="0070671C"/>
    <w:rsid w:val="007077F3"/>
    <w:rsid w:val="00711020"/>
    <w:rsid w:val="00712796"/>
    <w:rsid w:val="007132A3"/>
    <w:rsid w:val="00713709"/>
    <w:rsid w:val="007139BD"/>
    <w:rsid w:val="00713ACE"/>
    <w:rsid w:val="00715DB5"/>
    <w:rsid w:val="00716421"/>
    <w:rsid w:val="0071678E"/>
    <w:rsid w:val="007169DB"/>
    <w:rsid w:val="00721E0A"/>
    <w:rsid w:val="007222AC"/>
    <w:rsid w:val="00722B30"/>
    <w:rsid w:val="00724EFB"/>
    <w:rsid w:val="00725B83"/>
    <w:rsid w:val="007262B8"/>
    <w:rsid w:val="007264B1"/>
    <w:rsid w:val="00727555"/>
    <w:rsid w:val="00731085"/>
    <w:rsid w:val="00734CA5"/>
    <w:rsid w:val="00735D60"/>
    <w:rsid w:val="007379E3"/>
    <w:rsid w:val="007411FF"/>
    <w:rsid w:val="00741469"/>
    <w:rsid w:val="007418AB"/>
    <w:rsid w:val="007419C3"/>
    <w:rsid w:val="007424D4"/>
    <w:rsid w:val="00744F22"/>
    <w:rsid w:val="007467A7"/>
    <w:rsid w:val="007469DD"/>
    <w:rsid w:val="0074741B"/>
    <w:rsid w:val="0074759E"/>
    <w:rsid w:val="007478EA"/>
    <w:rsid w:val="00752FE5"/>
    <w:rsid w:val="00753009"/>
    <w:rsid w:val="0075415C"/>
    <w:rsid w:val="00754596"/>
    <w:rsid w:val="00757916"/>
    <w:rsid w:val="007632C3"/>
    <w:rsid w:val="00763502"/>
    <w:rsid w:val="00764344"/>
    <w:rsid w:val="00764987"/>
    <w:rsid w:val="00767AD7"/>
    <w:rsid w:val="007700B2"/>
    <w:rsid w:val="00772630"/>
    <w:rsid w:val="00775EAC"/>
    <w:rsid w:val="007763FD"/>
    <w:rsid w:val="00777CC8"/>
    <w:rsid w:val="00781AA2"/>
    <w:rsid w:val="00785EFE"/>
    <w:rsid w:val="00790365"/>
    <w:rsid w:val="00790DF2"/>
    <w:rsid w:val="007913AB"/>
    <w:rsid w:val="007914F7"/>
    <w:rsid w:val="00792BDF"/>
    <w:rsid w:val="0079601F"/>
    <w:rsid w:val="007A4D95"/>
    <w:rsid w:val="007A6421"/>
    <w:rsid w:val="007B1625"/>
    <w:rsid w:val="007B2571"/>
    <w:rsid w:val="007B4CC8"/>
    <w:rsid w:val="007B4CEA"/>
    <w:rsid w:val="007B5CA9"/>
    <w:rsid w:val="007B706E"/>
    <w:rsid w:val="007B71EB"/>
    <w:rsid w:val="007C00DE"/>
    <w:rsid w:val="007C16C3"/>
    <w:rsid w:val="007C1EA9"/>
    <w:rsid w:val="007C23CE"/>
    <w:rsid w:val="007C334B"/>
    <w:rsid w:val="007C5980"/>
    <w:rsid w:val="007C5CB8"/>
    <w:rsid w:val="007C6205"/>
    <w:rsid w:val="007C686A"/>
    <w:rsid w:val="007C728E"/>
    <w:rsid w:val="007D0860"/>
    <w:rsid w:val="007D179A"/>
    <w:rsid w:val="007D29A6"/>
    <w:rsid w:val="007D2C53"/>
    <w:rsid w:val="007D3D60"/>
    <w:rsid w:val="007D4A8D"/>
    <w:rsid w:val="007D620D"/>
    <w:rsid w:val="007D72DC"/>
    <w:rsid w:val="007D751E"/>
    <w:rsid w:val="007E1980"/>
    <w:rsid w:val="007E4B76"/>
    <w:rsid w:val="007E5956"/>
    <w:rsid w:val="007E5EA8"/>
    <w:rsid w:val="007E650F"/>
    <w:rsid w:val="007E6987"/>
    <w:rsid w:val="007E7B9F"/>
    <w:rsid w:val="007F0CF1"/>
    <w:rsid w:val="007F12A5"/>
    <w:rsid w:val="007F4CF1"/>
    <w:rsid w:val="007F758D"/>
    <w:rsid w:val="007F7D52"/>
    <w:rsid w:val="00801CFF"/>
    <w:rsid w:val="0080586D"/>
    <w:rsid w:val="008058FC"/>
    <w:rsid w:val="0080654C"/>
    <w:rsid w:val="008071C6"/>
    <w:rsid w:val="00807FBD"/>
    <w:rsid w:val="00811C93"/>
    <w:rsid w:val="00812115"/>
    <w:rsid w:val="00814253"/>
    <w:rsid w:val="00817848"/>
    <w:rsid w:val="00817A00"/>
    <w:rsid w:val="008200C4"/>
    <w:rsid w:val="00822919"/>
    <w:rsid w:val="008249F6"/>
    <w:rsid w:val="00826B87"/>
    <w:rsid w:val="00830B77"/>
    <w:rsid w:val="0083279F"/>
    <w:rsid w:val="00835DB3"/>
    <w:rsid w:val="0083617B"/>
    <w:rsid w:val="00836453"/>
    <w:rsid w:val="0083648C"/>
    <w:rsid w:val="008371BD"/>
    <w:rsid w:val="008374D8"/>
    <w:rsid w:val="00837E09"/>
    <w:rsid w:val="00842AA7"/>
    <w:rsid w:val="0084471E"/>
    <w:rsid w:val="008458CA"/>
    <w:rsid w:val="00847896"/>
    <w:rsid w:val="008504A8"/>
    <w:rsid w:val="00851169"/>
    <w:rsid w:val="0085173B"/>
    <w:rsid w:val="0085282E"/>
    <w:rsid w:val="00853CA3"/>
    <w:rsid w:val="008542B2"/>
    <w:rsid w:val="008564BC"/>
    <w:rsid w:val="00857BCE"/>
    <w:rsid w:val="00860016"/>
    <w:rsid w:val="0086145B"/>
    <w:rsid w:val="0086213B"/>
    <w:rsid w:val="00863DF0"/>
    <w:rsid w:val="0086506C"/>
    <w:rsid w:val="0087198C"/>
    <w:rsid w:val="00871CA9"/>
    <w:rsid w:val="00872121"/>
    <w:rsid w:val="00872C1F"/>
    <w:rsid w:val="00873B42"/>
    <w:rsid w:val="008746DF"/>
    <w:rsid w:val="00874847"/>
    <w:rsid w:val="008752D2"/>
    <w:rsid w:val="00876F01"/>
    <w:rsid w:val="00877321"/>
    <w:rsid w:val="00881463"/>
    <w:rsid w:val="008824D8"/>
    <w:rsid w:val="00882BDA"/>
    <w:rsid w:val="00882F6C"/>
    <w:rsid w:val="0088392C"/>
    <w:rsid w:val="00883F06"/>
    <w:rsid w:val="00884D95"/>
    <w:rsid w:val="00885259"/>
    <w:rsid w:val="008856D8"/>
    <w:rsid w:val="00885AF4"/>
    <w:rsid w:val="00885B37"/>
    <w:rsid w:val="008869B5"/>
    <w:rsid w:val="00891B04"/>
    <w:rsid w:val="008924B7"/>
    <w:rsid w:val="00892E2D"/>
    <w:rsid w:val="00892E82"/>
    <w:rsid w:val="00893BC6"/>
    <w:rsid w:val="008946A1"/>
    <w:rsid w:val="00895ECA"/>
    <w:rsid w:val="008966DA"/>
    <w:rsid w:val="00896B63"/>
    <w:rsid w:val="00897111"/>
    <w:rsid w:val="00897EF5"/>
    <w:rsid w:val="00897FCF"/>
    <w:rsid w:val="008A0974"/>
    <w:rsid w:val="008A2A18"/>
    <w:rsid w:val="008A32F0"/>
    <w:rsid w:val="008A50A6"/>
    <w:rsid w:val="008B29D0"/>
    <w:rsid w:val="008B2CE2"/>
    <w:rsid w:val="008B4BC7"/>
    <w:rsid w:val="008B593C"/>
    <w:rsid w:val="008B61E0"/>
    <w:rsid w:val="008C0DFC"/>
    <w:rsid w:val="008C1125"/>
    <w:rsid w:val="008C1B58"/>
    <w:rsid w:val="008C212C"/>
    <w:rsid w:val="008C252C"/>
    <w:rsid w:val="008C2E74"/>
    <w:rsid w:val="008C39AE"/>
    <w:rsid w:val="008C4B58"/>
    <w:rsid w:val="008C56B0"/>
    <w:rsid w:val="008C590D"/>
    <w:rsid w:val="008C75B2"/>
    <w:rsid w:val="008D08E7"/>
    <w:rsid w:val="008D197A"/>
    <w:rsid w:val="008D2ED1"/>
    <w:rsid w:val="008D4EAB"/>
    <w:rsid w:val="008D5B3E"/>
    <w:rsid w:val="008D709D"/>
    <w:rsid w:val="008E031B"/>
    <w:rsid w:val="008E0358"/>
    <w:rsid w:val="008E11FA"/>
    <w:rsid w:val="008E23B1"/>
    <w:rsid w:val="008E7029"/>
    <w:rsid w:val="008E7CFF"/>
    <w:rsid w:val="008E7EF6"/>
    <w:rsid w:val="008F0965"/>
    <w:rsid w:val="008F1F98"/>
    <w:rsid w:val="008F39F8"/>
    <w:rsid w:val="008F4F25"/>
    <w:rsid w:val="008F654B"/>
    <w:rsid w:val="008F6758"/>
    <w:rsid w:val="00901752"/>
    <w:rsid w:val="009036A1"/>
    <w:rsid w:val="0090398C"/>
    <w:rsid w:val="009040DD"/>
    <w:rsid w:val="00904BFD"/>
    <w:rsid w:val="00905905"/>
    <w:rsid w:val="00905B47"/>
    <w:rsid w:val="00912B56"/>
    <w:rsid w:val="00912E57"/>
    <w:rsid w:val="0091331C"/>
    <w:rsid w:val="00915E4B"/>
    <w:rsid w:val="009162E5"/>
    <w:rsid w:val="00917390"/>
    <w:rsid w:val="00917F49"/>
    <w:rsid w:val="009208DE"/>
    <w:rsid w:val="009279DE"/>
    <w:rsid w:val="00930116"/>
    <w:rsid w:val="009303E7"/>
    <w:rsid w:val="00933F12"/>
    <w:rsid w:val="00934BDC"/>
    <w:rsid w:val="0094212C"/>
    <w:rsid w:val="009427CE"/>
    <w:rsid w:val="00943E2E"/>
    <w:rsid w:val="00944F44"/>
    <w:rsid w:val="00946291"/>
    <w:rsid w:val="00947C64"/>
    <w:rsid w:val="00951AFB"/>
    <w:rsid w:val="00951C48"/>
    <w:rsid w:val="00953590"/>
    <w:rsid w:val="009538BA"/>
    <w:rsid w:val="00954689"/>
    <w:rsid w:val="009549AD"/>
    <w:rsid w:val="00955B0D"/>
    <w:rsid w:val="0095723F"/>
    <w:rsid w:val="009617C9"/>
    <w:rsid w:val="00961C93"/>
    <w:rsid w:val="00963873"/>
    <w:rsid w:val="00964431"/>
    <w:rsid w:val="00964FA7"/>
    <w:rsid w:val="00965324"/>
    <w:rsid w:val="00965F53"/>
    <w:rsid w:val="00967C7C"/>
    <w:rsid w:val="0097076D"/>
    <w:rsid w:val="0097091E"/>
    <w:rsid w:val="00972593"/>
    <w:rsid w:val="00972E15"/>
    <w:rsid w:val="0097325F"/>
    <w:rsid w:val="009760D3"/>
    <w:rsid w:val="00977132"/>
    <w:rsid w:val="0098037A"/>
    <w:rsid w:val="00981A27"/>
    <w:rsid w:val="00981A4B"/>
    <w:rsid w:val="00982501"/>
    <w:rsid w:val="00982DAB"/>
    <w:rsid w:val="0098732C"/>
    <w:rsid w:val="009877D3"/>
    <w:rsid w:val="009903D2"/>
    <w:rsid w:val="00992D5C"/>
    <w:rsid w:val="00994E8F"/>
    <w:rsid w:val="00994FF6"/>
    <w:rsid w:val="009951DC"/>
    <w:rsid w:val="0099525A"/>
    <w:rsid w:val="0099578F"/>
    <w:rsid w:val="009959BB"/>
    <w:rsid w:val="00996A19"/>
    <w:rsid w:val="00997158"/>
    <w:rsid w:val="00997436"/>
    <w:rsid w:val="009A07C7"/>
    <w:rsid w:val="009A0CDB"/>
    <w:rsid w:val="009A3132"/>
    <w:rsid w:val="009A35C9"/>
    <w:rsid w:val="009A394C"/>
    <w:rsid w:val="009A3A7C"/>
    <w:rsid w:val="009A5B63"/>
    <w:rsid w:val="009A5DDF"/>
    <w:rsid w:val="009A7E57"/>
    <w:rsid w:val="009B2ADB"/>
    <w:rsid w:val="009B45B0"/>
    <w:rsid w:val="009B5359"/>
    <w:rsid w:val="009B603A"/>
    <w:rsid w:val="009B6C02"/>
    <w:rsid w:val="009C06D1"/>
    <w:rsid w:val="009C0823"/>
    <w:rsid w:val="009C2D0E"/>
    <w:rsid w:val="009C3DAC"/>
    <w:rsid w:val="009C42E0"/>
    <w:rsid w:val="009C52A5"/>
    <w:rsid w:val="009C568B"/>
    <w:rsid w:val="009C7284"/>
    <w:rsid w:val="009C7402"/>
    <w:rsid w:val="009C7D6D"/>
    <w:rsid w:val="009D034E"/>
    <w:rsid w:val="009D1BF1"/>
    <w:rsid w:val="009D259A"/>
    <w:rsid w:val="009D3EE1"/>
    <w:rsid w:val="009D4609"/>
    <w:rsid w:val="009D5362"/>
    <w:rsid w:val="009D7F2C"/>
    <w:rsid w:val="009E0FD3"/>
    <w:rsid w:val="009E1415"/>
    <w:rsid w:val="009E22CF"/>
    <w:rsid w:val="009E32EB"/>
    <w:rsid w:val="009E4DEB"/>
    <w:rsid w:val="009E5722"/>
    <w:rsid w:val="009E6116"/>
    <w:rsid w:val="009E7878"/>
    <w:rsid w:val="009F0ABA"/>
    <w:rsid w:val="009F0B8A"/>
    <w:rsid w:val="009F105B"/>
    <w:rsid w:val="009F23F4"/>
    <w:rsid w:val="009F27B2"/>
    <w:rsid w:val="009F3534"/>
    <w:rsid w:val="009F3F2A"/>
    <w:rsid w:val="009F431A"/>
    <w:rsid w:val="009F5C88"/>
    <w:rsid w:val="009F5F73"/>
    <w:rsid w:val="009F740A"/>
    <w:rsid w:val="009F77E8"/>
    <w:rsid w:val="00A00279"/>
    <w:rsid w:val="00A02050"/>
    <w:rsid w:val="00A02A99"/>
    <w:rsid w:val="00A02E43"/>
    <w:rsid w:val="00A0315B"/>
    <w:rsid w:val="00A04035"/>
    <w:rsid w:val="00A065F9"/>
    <w:rsid w:val="00A07F34"/>
    <w:rsid w:val="00A10BBE"/>
    <w:rsid w:val="00A11917"/>
    <w:rsid w:val="00A133AC"/>
    <w:rsid w:val="00A13C31"/>
    <w:rsid w:val="00A14238"/>
    <w:rsid w:val="00A15645"/>
    <w:rsid w:val="00A15864"/>
    <w:rsid w:val="00A21550"/>
    <w:rsid w:val="00A22130"/>
    <w:rsid w:val="00A22154"/>
    <w:rsid w:val="00A24C1C"/>
    <w:rsid w:val="00A25902"/>
    <w:rsid w:val="00A25C38"/>
    <w:rsid w:val="00A25D02"/>
    <w:rsid w:val="00A25F5E"/>
    <w:rsid w:val="00A26D04"/>
    <w:rsid w:val="00A275A5"/>
    <w:rsid w:val="00A30BEF"/>
    <w:rsid w:val="00A31202"/>
    <w:rsid w:val="00A31695"/>
    <w:rsid w:val="00A3229E"/>
    <w:rsid w:val="00A32F61"/>
    <w:rsid w:val="00A336D0"/>
    <w:rsid w:val="00A36BBE"/>
    <w:rsid w:val="00A429ED"/>
    <w:rsid w:val="00A42FE1"/>
    <w:rsid w:val="00A4307A"/>
    <w:rsid w:val="00A43648"/>
    <w:rsid w:val="00A43B6D"/>
    <w:rsid w:val="00A44E7B"/>
    <w:rsid w:val="00A45653"/>
    <w:rsid w:val="00A45D45"/>
    <w:rsid w:val="00A46657"/>
    <w:rsid w:val="00A47006"/>
    <w:rsid w:val="00A47009"/>
    <w:rsid w:val="00A479D6"/>
    <w:rsid w:val="00A47EBB"/>
    <w:rsid w:val="00A5079E"/>
    <w:rsid w:val="00A5099C"/>
    <w:rsid w:val="00A51CDD"/>
    <w:rsid w:val="00A51DD2"/>
    <w:rsid w:val="00A53003"/>
    <w:rsid w:val="00A5317D"/>
    <w:rsid w:val="00A567A7"/>
    <w:rsid w:val="00A56ED2"/>
    <w:rsid w:val="00A618BB"/>
    <w:rsid w:val="00A61F86"/>
    <w:rsid w:val="00A63712"/>
    <w:rsid w:val="00A63DCD"/>
    <w:rsid w:val="00A66EB2"/>
    <w:rsid w:val="00A6730D"/>
    <w:rsid w:val="00A71625"/>
    <w:rsid w:val="00A71B9B"/>
    <w:rsid w:val="00A72D98"/>
    <w:rsid w:val="00A73299"/>
    <w:rsid w:val="00A73392"/>
    <w:rsid w:val="00A751C7"/>
    <w:rsid w:val="00A8032F"/>
    <w:rsid w:val="00A81C86"/>
    <w:rsid w:val="00A843B7"/>
    <w:rsid w:val="00A86702"/>
    <w:rsid w:val="00A87844"/>
    <w:rsid w:val="00A87DE8"/>
    <w:rsid w:val="00A90526"/>
    <w:rsid w:val="00A9084F"/>
    <w:rsid w:val="00A9275F"/>
    <w:rsid w:val="00A9530D"/>
    <w:rsid w:val="00AA038C"/>
    <w:rsid w:val="00AA67DD"/>
    <w:rsid w:val="00AA7A09"/>
    <w:rsid w:val="00AA7AAB"/>
    <w:rsid w:val="00AB153E"/>
    <w:rsid w:val="00AB2A2B"/>
    <w:rsid w:val="00AB3B50"/>
    <w:rsid w:val="00AB3BC2"/>
    <w:rsid w:val="00AB6CFB"/>
    <w:rsid w:val="00AC0592"/>
    <w:rsid w:val="00AC05B1"/>
    <w:rsid w:val="00AC0F58"/>
    <w:rsid w:val="00AC1054"/>
    <w:rsid w:val="00AC174E"/>
    <w:rsid w:val="00AC1A62"/>
    <w:rsid w:val="00AC2B3F"/>
    <w:rsid w:val="00AC2CA1"/>
    <w:rsid w:val="00AC4C10"/>
    <w:rsid w:val="00AC6BAD"/>
    <w:rsid w:val="00AC6D6B"/>
    <w:rsid w:val="00AC6E22"/>
    <w:rsid w:val="00AD0C88"/>
    <w:rsid w:val="00AD2316"/>
    <w:rsid w:val="00AD356C"/>
    <w:rsid w:val="00AD56B8"/>
    <w:rsid w:val="00AD6736"/>
    <w:rsid w:val="00AD6F6D"/>
    <w:rsid w:val="00AE2914"/>
    <w:rsid w:val="00AE3DDC"/>
    <w:rsid w:val="00AE6029"/>
    <w:rsid w:val="00AE667B"/>
    <w:rsid w:val="00AE6D15"/>
    <w:rsid w:val="00AE7308"/>
    <w:rsid w:val="00AF1B6B"/>
    <w:rsid w:val="00AF208F"/>
    <w:rsid w:val="00AF7BB6"/>
    <w:rsid w:val="00B0042F"/>
    <w:rsid w:val="00B01495"/>
    <w:rsid w:val="00B01C66"/>
    <w:rsid w:val="00B03861"/>
    <w:rsid w:val="00B04182"/>
    <w:rsid w:val="00B07918"/>
    <w:rsid w:val="00B07AE3"/>
    <w:rsid w:val="00B07D03"/>
    <w:rsid w:val="00B11430"/>
    <w:rsid w:val="00B14227"/>
    <w:rsid w:val="00B16B3D"/>
    <w:rsid w:val="00B17754"/>
    <w:rsid w:val="00B229F5"/>
    <w:rsid w:val="00B23739"/>
    <w:rsid w:val="00B247B0"/>
    <w:rsid w:val="00B30372"/>
    <w:rsid w:val="00B32DD8"/>
    <w:rsid w:val="00B347E7"/>
    <w:rsid w:val="00B353EB"/>
    <w:rsid w:val="00B35CB0"/>
    <w:rsid w:val="00B3629F"/>
    <w:rsid w:val="00B36A0F"/>
    <w:rsid w:val="00B40069"/>
    <w:rsid w:val="00B40B9F"/>
    <w:rsid w:val="00B439C4"/>
    <w:rsid w:val="00B4535E"/>
    <w:rsid w:val="00B46502"/>
    <w:rsid w:val="00B46D61"/>
    <w:rsid w:val="00B47D0D"/>
    <w:rsid w:val="00B50984"/>
    <w:rsid w:val="00B51DC9"/>
    <w:rsid w:val="00B52A8C"/>
    <w:rsid w:val="00B53280"/>
    <w:rsid w:val="00B54378"/>
    <w:rsid w:val="00B54632"/>
    <w:rsid w:val="00B55AA3"/>
    <w:rsid w:val="00B57DE5"/>
    <w:rsid w:val="00B614C5"/>
    <w:rsid w:val="00B63134"/>
    <w:rsid w:val="00B636A8"/>
    <w:rsid w:val="00B63CBB"/>
    <w:rsid w:val="00B656FA"/>
    <w:rsid w:val="00B665C6"/>
    <w:rsid w:val="00B66BFB"/>
    <w:rsid w:val="00B70C3A"/>
    <w:rsid w:val="00B73797"/>
    <w:rsid w:val="00B7473A"/>
    <w:rsid w:val="00B77490"/>
    <w:rsid w:val="00B8056F"/>
    <w:rsid w:val="00B805AF"/>
    <w:rsid w:val="00B811E7"/>
    <w:rsid w:val="00B8132F"/>
    <w:rsid w:val="00B82989"/>
    <w:rsid w:val="00B8504B"/>
    <w:rsid w:val="00B85EAE"/>
    <w:rsid w:val="00B86096"/>
    <w:rsid w:val="00B865CC"/>
    <w:rsid w:val="00B869EC"/>
    <w:rsid w:val="00B87636"/>
    <w:rsid w:val="00B91D36"/>
    <w:rsid w:val="00B92342"/>
    <w:rsid w:val="00B9397A"/>
    <w:rsid w:val="00B948C1"/>
    <w:rsid w:val="00B94C1A"/>
    <w:rsid w:val="00B95970"/>
    <w:rsid w:val="00B9633D"/>
    <w:rsid w:val="00B9648E"/>
    <w:rsid w:val="00BA0B75"/>
    <w:rsid w:val="00BA0FCC"/>
    <w:rsid w:val="00BA23B0"/>
    <w:rsid w:val="00BA2EBE"/>
    <w:rsid w:val="00BA3793"/>
    <w:rsid w:val="00BA3C4E"/>
    <w:rsid w:val="00BA3DB4"/>
    <w:rsid w:val="00BA424B"/>
    <w:rsid w:val="00BB034F"/>
    <w:rsid w:val="00BB04D9"/>
    <w:rsid w:val="00BB0F28"/>
    <w:rsid w:val="00BB40B6"/>
    <w:rsid w:val="00BB4472"/>
    <w:rsid w:val="00BB458A"/>
    <w:rsid w:val="00BB797E"/>
    <w:rsid w:val="00BB7E65"/>
    <w:rsid w:val="00BC1A68"/>
    <w:rsid w:val="00BC23B8"/>
    <w:rsid w:val="00BC2729"/>
    <w:rsid w:val="00BC4FF6"/>
    <w:rsid w:val="00BC71F3"/>
    <w:rsid w:val="00BD00D3"/>
    <w:rsid w:val="00BD043E"/>
    <w:rsid w:val="00BD1659"/>
    <w:rsid w:val="00BD3146"/>
    <w:rsid w:val="00BD3AA9"/>
    <w:rsid w:val="00BD4A18"/>
    <w:rsid w:val="00BD6934"/>
    <w:rsid w:val="00BD6DB2"/>
    <w:rsid w:val="00BE11CF"/>
    <w:rsid w:val="00BE128D"/>
    <w:rsid w:val="00BE1CDC"/>
    <w:rsid w:val="00BE21AB"/>
    <w:rsid w:val="00BE2A66"/>
    <w:rsid w:val="00BE5524"/>
    <w:rsid w:val="00BE55CB"/>
    <w:rsid w:val="00BF18C7"/>
    <w:rsid w:val="00BF1D5B"/>
    <w:rsid w:val="00BF2584"/>
    <w:rsid w:val="00BF3A1D"/>
    <w:rsid w:val="00BF3D74"/>
    <w:rsid w:val="00BF5154"/>
    <w:rsid w:val="00BF54F3"/>
    <w:rsid w:val="00BF617A"/>
    <w:rsid w:val="00BF6A52"/>
    <w:rsid w:val="00BF6FCE"/>
    <w:rsid w:val="00BF721E"/>
    <w:rsid w:val="00C00537"/>
    <w:rsid w:val="00C0122A"/>
    <w:rsid w:val="00C02984"/>
    <w:rsid w:val="00C0379D"/>
    <w:rsid w:val="00C03931"/>
    <w:rsid w:val="00C04705"/>
    <w:rsid w:val="00C05FE3"/>
    <w:rsid w:val="00C063B2"/>
    <w:rsid w:val="00C0673E"/>
    <w:rsid w:val="00C06F34"/>
    <w:rsid w:val="00C128C2"/>
    <w:rsid w:val="00C204AC"/>
    <w:rsid w:val="00C2136D"/>
    <w:rsid w:val="00C214EE"/>
    <w:rsid w:val="00C2314B"/>
    <w:rsid w:val="00C23FFA"/>
    <w:rsid w:val="00C24971"/>
    <w:rsid w:val="00C253E9"/>
    <w:rsid w:val="00C26BE5"/>
    <w:rsid w:val="00C26DAB"/>
    <w:rsid w:val="00C26E4D"/>
    <w:rsid w:val="00C26FF7"/>
    <w:rsid w:val="00C27909"/>
    <w:rsid w:val="00C27B03"/>
    <w:rsid w:val="00C31458"/>
    <w:rsid w:val="00C314E1"/>
    <w:rsid w:val="00C31AA7"/>
    <w:rsid w:val="00C3293C"/>
    <w:rsid w:val="00C34397"/>
    <w:rsid w:val="00C3788B"/>
    <w:rsid w:val="00C4095D"/>
    <w:rsid w:val="00C418C0"/>
    <w:rsid w:val="00C44A39"/>
    <w:rsid w:val="00C50997"/>
    <w:rsid w:val="00C50BC9"/>
    <w:rsid w:val="00C52BF4"/>
    <w:rsid w:val="00C601D2"/>
    <w:rsid w:val="00C61A95"/>
    <w:rsid w:val="00C62ACB"/>
    <w:rsid w:val="00C63A7E"/>
    <w:rsid w:val="00C655F6"/>
    <w:rsid w:val="00C65BCC"/>
    <w:rsid w:val="00C6604D"/>
    <w:rsid w:val="00C66970"/>
    <w:rsid w:val="00C708C7"/>
    <w:rsid w:val="00C71A1E"/>
    <w:rsid w:val="00C758CE"/>
    <w:rsid w:val="00C76595"/>
    <w:rsid w:val="00C768D0"/>
    <w:rsid w:val="00C768DA"/>
    <w:rsid w:val="00C7756E"/>
    <w:rsid w:val="00C80E56"/>
    <w:rsid w:val="00C8173E"/>
    <w:rsid w:val="00C82F64"/>
    <w:rsid w:val="00C839EB"/>
    <w:rsid w:val="00C83ADF"/>
    <w:rsid w:val="00C85C3C"/>
    <w:rsid w:val="00C8691C"/>
    <w:rsid w:val="00C86F41"/>
    <w:rsid w:val="00C91565"/>
    <w:rsid w:val="00C92787"/>
    <w:rsid w:val="00C941CA"/>
    <w:rsid w:val="00C9529E"/>
    <w:rsid w:val="00C9561C"/>
    <w:rsid w:val="00C9726F"/>
    <w:rsid w:val="00C97C67"/>
    <w:rsid w:val="00CA168A"/>
    <w:rsid w:val="00CA3378"/>
    <w:rsid w:val="00CA357E"/>
    <w:rsid w:val="00CA44F9"/>
    <w:rsid w:val="00CA4A69"/>
    <w:rsid w:val="00CA611C"/>
    <w:rsid w:val="00CA6975"/>
    <w:rsid w:val="00CA78BB"/>
    <w:rsid w:val="00CB0BA5"/>
    <w:rsid w:val="00CC0F09"/>
    <w:rsid w:val="00CC1E24"/>
    <w:rsid w:val="00CC3E0C"/>
    <w:rsid w:val="00CC53D8"/>
    <w:rsid w:val="00CC58D3"/>
    <w:rsid w:val="00CC66B6"/>
    <w:rsid w:val="00CC784D"/>
    <w:rsid w:val="00CD11FB"/>
    <w:rsid w:val="00CD12E4"/>
    <w:rsid w:val="00CD2AC8"/>
    <w:rsid w:val="00CD30DF"/>
    <w:rsid w:val="00CD49BC"/>
    <w:rsid w:val="00CD4BD9"/>
    <w:rsid w:val="00CE355A"/>
    <w:rsid w:val="00CE3671"/>
    <w:rsid w:val="00CE4A4B"/>
    <w:rsid w:val="00CE67B4"/>
    <w:rsid w:val="00CE68AA"/>
    <w:rsid w:val="00CF1F23"/>
    <w:rsid w:val="00CF28A0"/>
    <w:rsid w:val="00CF4060"/>
    <w:rsid w:val="00CF6777"/>
    <w:rsid w:val="00CF74D3"/>
    <w:rsid w:val="00D014FE"/>
    <w:rsid w:val="00D01950"/>
    <w:rsid w:val="00D02BA1"/>
    <w:rsid w:val="00D02E10"/>
    <w:rsid w:val="00D0337B"/>
    <w:rsid w:val="00D05E14"/>
    <w:rsid w:val="00D05F83"/>
    <w:rsid w:val="00D06355"/>
    <w:rsid w:val="00D06BF4"/>
    <w:rsid w:val="00D072EA"/>
    <w:rsid w:val="00D07917"/>
    <w:rsid w:val="00D079B2"/>
    <w:rsid w:val="00D114E9"/>
    <w:rsid w:val="00D11D0B"/>
    <w:rsid w:val="00D14C8E"/>
    <w:rsid w:val="00D16024"/>
    <w:rsid w:val="00D2414E"/>
    <w:rsid w:val="00D24E25"/>
    <w:rsid w:val="00D266CC"/>
    <w:rsid w:val="00D27241"/>
    <w:rsid w:val="00D304F4"/>
    <w:rsid w:val="00D308A6"/>
    <w:rsid w:val="00D3150A"/>
    <w:rsid w:val="00D3238E"/>
    <w:rsid w:val="00D3467D"/>
    <w:rsid w:val="00D35242"/>
    <w:rsid w:val="00D35F84"/>
    <w:rsid w:val="00D3642D"/>
    <w:rsid w:val="00D37AE5"/>
    <w:rsid w:val="00D41317"/>
    <w:rsid w:val="00D429C6"/>
    <w:rsid w:val="00D432D0"/>
    <w:rsid w:val="00D4443A"/>
    <w:rsid w:val="00D456C9"/>
    <w:rsid w:val="00D45CA5"/>
    <w:rsid w:val="00D46033"/>
    <w:rsid w:val="00D47748"/>
    <w:rsid w:val="00D5172D"/>
    <w:rsid w:val="00D52337"/>
    <w:rsid w:val="00D5315C"/>
    <w:rsid w:val="00D539F9"/>
    <w:rsid w:val="00D54CC3"/>
    <w:rsid w:val="00D54D0E"/>
    <w:rsid w:val="00D55208"/>
    <w:rsid w:val="00D56E44"/>
    <w:rsid w:val="00D6041A"/>
    <w:rsid w:val="00D60450"/>
    <w:rsid w:val="00D6156F"/>
    <w:rsid w:val="00D62D06"/>
    <w:rsid w:val="00D633EB"/>
    <w:rsid w:val="00D63878"/>
    <w:rsid w:val="00D6728F"/>
    <w:rsid w:val="00D718DE"/>
    <w:rsid w:val="00D74C86"/>
    <w:rsid w:val="00D762F8"/>
    <w:rsid w:val="00D76DCA"/>
    <w:rsid w:val="00D82FF7"/>
    <w:rsid w:val="00D83768"/>
    <w:rsid w:val="00D84558"/>
    <w:rsid w:val="00D847FA"/>
    <w:rsid w:val="00D847FE"/>
    <w:rsid w:val="00D8672E"/>
    <w:rsid w:val="00D92291"/>
    <w:rsid w:val="00D933EF"/>
    <w:rsid w:val="00D9346E"/>
    <w:rsid w:val="00D93C37"/>
    <w:rsid w:val="00D947A4"/>
    <w:rsid w:val="00D964EA"/>
    <w:rsid w:val="00D966D0"/>
    <w:rsid w:val="00DA0C59"/>
    <w:rsid w:val="00DA109E"/>
    <w:rsid w:val="00DA2735"/>
    <w:rsid w:val="00DA3116"/>
    <w:rsid w:val="00DA3991"/>
    <w:rsid w:val="00DA5A9F"/>
    <w:rsid w:val="00DA654D"/>
    <w:rsid w:val="00DB0990"/>
    <w:rsid w:val="00DB15E6"/>
    <w:rsid w:val="00DB2828"/>
    <w:rsid w:val="00DB2C0E"/>
    <w:rsid w:val="00DB4B87"/>
    <w:rsid w:val="00DB5E3E"/>
    <w:rsid w:val="00DB799B"/>
    <w:rsid w:val="00DB7E6C"/>
    <w:rsid w:val="00DC112B"/>
    <w:rsid w:val="00DC3955"/>
    <w:rsid w:val="00DC4837"/>
    <w:rsid w:val="00DC572C"/>
    <w:rsid w:val="00DC624B"/>
    <w:rsid w:val="00DC6F77"/>
    <w:rsid w:val="00DD2032"/>
    <w:rsid w:val="00DD41C4"/>
    <w:rsid w:val="00DD5A29"/>
    <w:rsid w:val="00DD5D9D"/>
    <w:rsid w:val="00DD644C"/>
    <w:rsid w:val="00DD7CB7"/>
    <w:rsid w:val="00DE35CB"/>
    <w:rsid w:val="00DE3C62"/>
    <w:rsid w:val="00DE6563"/>
    <w:rsid w:val="00DE764B"/>
    <w:rsid w:val="00DF10FB"/>
    <w:rsid w:val="00DF1B83"/>
    <w:rsid w:val="00DF21E9"/>
    <w:rsid w:val="00DF2A48"/>
    <w:rsid w:val="00DF6F2F"/>
    <w:rsid w:val="00E0039F"/>
    <w:rsid w:val="00E0086F"/>
    <w:rsid w:val="00E00F14"/>
    <w:rsid w:val="00E03056"/>
    <w:rsid w:val="00E038F2"/>
    <w:rsid w:val="00E03F8B"/>
    <w:rsid w:val="00E052B1"/>
    <w:rsid w:val="00E05C04"/>
    <w:rsid w:val="00E05C0A"/>
    <w:rsid w:val="00E05E43"/>
    <w:rsid w:val="00E06386"/>
    <w:rsid w:val="00E077C4"/>
    <w:rsid w:val="00E07ABF"/>
    <w:rsid w:val="00E10B75"/>
    <w:rsid w:val="00E1148D"/>
    <w:rsid w:val="00E1407D"/>
    <w:rsid w:val="00E155D7"/>
    <w:rsid w:val="00E16EB2"/>
    <w:rsid w:val="00E17986"/>
    <w:rsid w:val="00E200B3"/>
    <w:rsid w:val="00E20A3F"/>
    <w:rsid w:val="00E221E2"/>
    <w:rsid w:val="00E23510"/>
    <w:rsid w:val="00E23E21"/>
    <w:rsid w:val="00E24EB4"/>
    <w:rsid w:val="00E3060D"/>
    <w:rsid w:val="00E320ED"/>
    <w:rsid w:val="00E33AFB"/>
    <w:rsid w:val="00E34218"/>
    <w:rsid w:val="00E3492A"/>
    <w:rsid w:val="00E37650"/>
    <w:rsid w:val="00E42E11"/>
    <w:rsid w:val="00E42F99"/>
    <w:rsid w:val="00E4302F"/>
    <w:rsid w:val="00E43471"/>
    <w:rsid w:val="00E46282"/>
    <w:rsid w:val="00E46A74"/>
    <w:rsid w:val="00E46AB5"/>
    <w:rsid w:val="00E51693"/>
    <w:rsid w:val="00E51D15"/>
    <w:rsid w:val="00E5216E"/>
    <w:rsid w:val="00E5258B"/>
    <w:rsid w:val="00E54E1E"/>
    <w:rsid w:val="00E60D32"/>
    <w:rsid w:val="00E61285"/>
    <w:rsid w:val="00E61290"/>
    <w:rsid w:val="00E62B4D"/>
    <w:rsid w:val="00E643BD"/>
    <w:rsid w:val="00E6499B"/>
    <w:rsid w:val="00E653B4"/>
    <w:rsid w:val="00E66D34"/>
    <w:rsid w:val="00E66EC9"/>
    <w:rsid w:val="00E6788D"/>
    <w:rsid w:val="00E72041"/>
    <w:rsid w:val="00E744EB"/>
    <w:rsid w:val="00E75C0E"/>
    <w:rsid w:val="00E761D1"/>
    <w:rsid w:val="00E76501"/>
    <w:rsid w:val="00E77320"/>
    <w:rsid w:val="00E773F2"/>
    <w:rsid w:val="00E77D05"/>
    <w:rsid w:val="00E805A6"/>
    <w:rsid w:val="00E82344"/>
    <w:rsid w:val="00E824A3"/>
    <w:rsid w:val="00E84A1D"/>
    <w:rsid w:val="00E84C82"/>
    <w:rsid w:val="00E84D64"/>
    <w:rsid w:val="00E85CF7"/>
    <w:rsid w:val="00E866C9"/>
    <w:rsid w:val="00E87408"/>
    <w:rsid w:val="00E914C4"/>
    <w:rsid w:val="00E92A77"/>
    <w:rsid w:val="00E934F5"/>
    <w:rsid w:val="00E94A5B"/>
    <w:rsid w:val="00E966EE"/>
    <w:rsid w:val="00E96961"/>
    <w:rsid w:val="00E96A44"/>
    <w:rsid w:val="00E97AAF"/>
    <w:rsid w:val="00EA0BDD"/>
    <w:rsid w:val="00EA13EA"/>
    <w:rsid w:val="00EA4D3B"/>
    <w:rsid w:val="00EA72EC"/>
    <w:rsid w:val="00EA7986"/>
    <w:rsid w:val="00EB11CB"/>
    <w:rsid w:val="00EB2391"/>
    <w:rsid w:val="00EB275A"/>
    <w:rsid w:val="00EB786A"/>
    <w:rsid w:val="00EC09A3"/>
    <w:rsid w:val="00EC0BF9"/>
    <w:rsid w:val="00EC0C44"/>
    <w:rsid w:val="00EC148B"/>
    <w:rsid w:val="00EC1578"/>
    <w:rsid w:val="00EC18A6"/>
    <w:rsid w:val="00EC1C41"/>
    <w:rsid w:val="00EC1C72"/>
    <w:rsid w:val="00EC2D7B"/>
    <w:rsid w:val="00EC37F9"/>
    <w:rsid w:val="00EC3CC9"/>
    <w:rsid w:val="00EC45EF"/>
    <w:rsid w:val="00EC5CB2"/>
    <w:rsid w:val="00EC5D67"/>
    <w:rsid w:val="00EC64CB"/>
    <w:rsid w:val="00EC680A"/>
    <w:rsid w:val="00EC6CD3"/>
    <w:rsid w:val="00EC6DBB"/>
    <w:rsid w:val="00EC76B7"/>
    <w:rsid w:val="00ED1909"/>
    <w:rsid w:val="00ED195E"/>
    <w:rsid w:val="00ED2328"/>
    <w:rsid w:val="00ED4A58"/>
    <w:rsid w:val="00EE003B"/>
    <w:rsid w:val="00EE28F8"/>
    <w:rsid w:val="00EE2BED"/>
    <w:rsid w:val="00EE374B"/>
    <w:rsid w:val="00EE4525"/>
    <w:rsid w:val="00EE5586"/>
    <w:rsid w:val="00EE724F"/>
    <w:rsid w:val="00EF18F1"/>
    <w:rsid w:val="00EF2980"/>
    <w:rsid w:val="00EF43A5"/>
    <w:rsid w:val="00EF5088"/>
    <w:rsid w:val="00EF5869"/>
    <w:rsid w:val="00EF6648"/>
    <w:rsid w:val="00F00967"/>
    <w:rsid w:val="00F03592"/>
    <w:rsid w:val="00F04551"/>
    <w:rsid w:val="00F11BB5"/>
    <w:rsid w:val="00F126AA"/>
    <w:rsid w:val="00F12C13"/>
    <w:rsid w:val="00F1417B"/>
    <w:rsid w:val="00F215A9"/>
    <w:rsid w:val="00F21DA6"/>
    <w:rsid w:val="00F223B7"/>
    <w:rsid w:val="00F234DA"/>
    <w:rsid w:val="00F2355A"/>
    <w:rsid w:val="00F23FAB"/>
    <w:rsid w:val="00F267C9"/>
    <w:rsid w:val="00F26983"/>
    <w:rsid w:val="00F34222"/>
    <w:rsid w:val="00F344DD"/>
    <w:rsid w:val="00F34B99"/>
    <w:rsid w:val="00F35C3B"/>
    <w:rsid w:val="00F36AA8"/>
    <w:rsid w:val="00F417A8"/>
    <w:rsid w:val="00F478FA"/>
    <w:rsid w:val="00F47C13"/>
    <w:rsid w:val="00F50AB7"/>
    <w:rsid w:val="00F52DAB"/>
    <w:rsid w:val="00F54111"/>
    <w:rsid w:val="00F543F0"/>
    <w:rsid w:val="00F602A0"/>
    <w:rsid w:val="00F6046F"/>
    <w:rsid w:val="00F64EE3"/>
    <w:rsid w:val="00F673EB"/>
    <w:rsid w:val="00F70BF4"/>
    <w:rsid w:val="00F727D9"/>
    <w:rsid w:val="00F72EC8"/>
    <w:rsid w:val="00F738C5"/>
    <w:rsid w:val="00F73FBD"/>
    <w:rsid w:val="00F757AE"/>
    <w:rsid w:val="00F77CA9"/>
    <w:rsid w:val="00F80380"/>
    <w:rsid w:val="00F81669"/>
    <w:rsid w:val="00F81D29"/>
    <w:rsid w:val="00F821A4"/>
    <w:rsid w:val="00F8286C"/>
    <w:rsid w:val="00F85C43"/>
    <w:rsid w:val="00F861F3"/>
    <w:rsid w:val="00F91C4D"/>
    <w:rsid w:val="00F92FD9"/>
    <w:rsid w:val="00F931CF"/>
    <w:rsid w:val="00F932ED"/>
    <w:rsid w:val="00F934A3"/>
    <w:rsid w:val="00F93CF8"/>
    <w:rsid w:val="00F95C68"/>
    <w:rsid w:val="00FA2DD3"/>
    <w:rsid w:val="00FA5471"/>
    <w:rsid w:val="00FA5F10"/>
    <w:rsid w:val="00FA6684"/>
    <w:rsid w:val="00FA731E"/>
    <w:rsid w:val="00FB06BB"/>
    <w:rsid w:val="00FB18A4"/>
    <w:rsid w:val="00FB2B38"/>
    <w:rsid w:val="00FB31D3"/>
    <w:rsid w:val="00FB542F"/>
    <w:rsid w:val="00FB61B0"/>
    <w:rsid w:val="00FB7DE3"/>
    <w:rsid w:val="00FC07CE"/>
    <w:rsid w:val="00FC288F"/>
    <w:rsid w:val="00FC5918"/>
    <w:rsid w:val="00FC6358"/>
    <w:rsid w:val="00FC708D"/>
    <w:rsid w:val="00FD01CF"/>
    <w:rsid w:val="00FD107C"/>
    <w:rsid w:val="00FD1B3F"/>
    <w:rsid w:val="00FD320D"/>
    <w:rsid w:val="00FD65E4"/>
    <w:rsid w:val="00FD6823"/>
    <w:rsid w:val="00FD7017"/>
    <w:rsid w:val="00FD7B8A"/>
    <w:rsid w:val="00FE0520"/>
    <w:rsid w:val="00FE0820"/>
    <w:rsid w:val="00FE23DE"/>
    <w:rsid w:val="00FE2A85"/>
    <w:rsid w:val="00FE50AA"/>
    <w:rsid w:val="00FE716B"/>
    <w:rsid w:val="00FE7701"/>
    <w:rsid w:val="00FF2E97"/>
    <w:rsid w:val="00FF2F27"/>
    <w:rsid w:val="00FF47C8"/>
    <w:rsid w:val="00FF4E6E"/>
    <w:rsid w:val="00FF55EC"/>
    <w:rsid w:val="02020CFA"/>
    <w:rsid w:val="039343B0"/>
    <w:rsid w:val="051D767F"/>
    <w:rsid w:val="063E2ACC"/>
    <w:rsid w:val="09D548AB"/>
    <w:rsid w:val="0AE93662"/>
    <w:rsid w:val="0B3231DB"/>
    <w:rsid w:val="0B35032B"/>
    <w:rsid w:val="0E6601B9"/>
    <w:rsid w:val="0EE8054E"/>
    <w:rsid w:val="112152BF"/>
    <w:rsid w:val="11F508B3"/>
    <w:rsid w:val="146B6E96"/>
    <w:rsid w:val="16C0674E"/>
    <w:rsid w:val="1A7C3A5C"/>
    <w:rsid w:val="1ACB7DF1"/>
    <w:rsid w:val="1BA4642F"/>
    <w:rsid w:val="1F7A5CF5"/>
    <w:rsid w:val="207E1A2A"/>
    <w:rsid w:val="25AB3597"/>
    <w:rsid w:val="26AB4D84"/>
    <w:rsid w:val="2BD94552"/>
    <w:rsid w:val="2D300825"/>
    <w:rsid w:val="30265841"/>
    <w:rsid w:val="30525F07"/>
    <w:rsid w:val="318754F5"/>
    <w:rsid w:val="3337273F"/>
    <w:rsid w:val="33E07F3C"/>
    <w:rsid w:val="36EF66FC"/>
    <w:rsid w:val="37247744"/>
    <w:rsid w:val="38351E5E"/>
    <w:rsid w:val="389279E9"/>
    <w:rsid w:val="38CD0082"/>
    <w:rsid w:val="3D927D13"/>
    <w:rsid w:val="40403C8A"/>
    <w:rsid w:val="41097C17"/>
    <w:rsid w:val="44475077"/>
    <w:rsid w:val="45315466"/>
    <w:rsid w:val="4532414F"/>
    <w:rsid w:val="47DA141D"/>
    <w:rsid w:val="48FA645F"/>
    <w:rsid w:val="4BFD0A7A"/>
    <w:rsid w:val="4DF714CB"/>
    <w:rsid w:val="4F0F6D60"/>
    <w:rsid w:val="4FFF4535"/>
    <w:rsid w:val="516017F7"/>
    <w:rsid w:val="51F53AB1"/>
    <w:rsid w:val="54170384"/>
    <w:rsid w:val="56E35963"/>
    <w:rsid w:val="59487DBE"/>
    <w:rsid w:val="59E719A1"/>
    <w:rsid w:val="5A675D60"/>
    <w:rsid w:val="5A8B5716"/>
    <w:rsid w:val="5BA82D6B"/>
    <w:rsid w:val="5CCB1593"/>
    <w:rsid w:val="5D3E43B3"/>
    <w:rsid w:val="5E4118B5"/>
    <w:rsid w:val="62ED7DCB"/>
    <w:rsid w:val="677A17B1"/>
    <w:rsid w:val="679025F1"/>
    <w:rsid w:val="6A107D3B"/>
    <w:rsid w:val="6A62507C"/>
    <w:rsid w:val="6C2A62D9"/>
    <w:rsid w:val="6C9173B1"/>
    <w:rsid w:val="6CDA032F"/>
    <w:rsid w:val="71925876"/>
    <w:rsid w:val="72A46583"/>
    <w:rsid w:val="79CA325D"/>
    <w:rsid w:val="7A4A4C21"/>
    <w:rsid w:val="7E3B1B61"/>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6"/>
    <w:qFormat/>
    <w:uiPriority w:val="0"/>
    <w:pPr>
      <w:keepNext/>
      <w:keepLines/>
      <w:spacing w:before="340" w:after="330" w:line="578" w:lineRule="auto"/>
      <w:outlineLvl w:val="0"/>
    </w:pPr>
    <w:rPr>
      <w:b/>
      <w:bCs/>
      <w:kern w:val="44"/>
      <w:sz w:val="44"/>
      <w:szCs w:val="44"/>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2"/>
    <w:semiHidden/>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39"/>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43"/>
    <w:semiHidden/>
    <w:unhideWhenUsed/>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bCs/>
    </w:rPr>
  </w:style>
  <w:style w:type="character" w:styleId="36">
    <w:name w:val="endnote reference"/>
    <w:basedOn w:val="34"/>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basedOn w:val="34"/>
    <w:qFormat/>
    <w:uiPriority w:val="0"/>
    <w:rPr>
      <w:color w:val="800080"/>
      <w:u w:val="single"/>
    </w:rPr>
  </w:style>
  <w:style w:type="character" w:styleId="39">
    <w:name w:val="Hyperlink"/>
    <w:basedOn w:val="34"/>
    <w:qFormat/>
    <w:uiPriority w:val="99"/>
    <w:rPr>
      <w:color w:val="0000FF"/>
      <w:spacing w:val="0"/>
      <w:w w:val="100"/>
      <w:szCs w:val="21"/>
      <w:u w:val="single"/>
    </w:rPr>
  </w:style>
  <w:style w:type="character" w:styleId="40">
    <w:name w:val="annotation reference"/>
    <w:basedOn w:val="34"/>
    <w:semiHidden/>
    <w:unhideWhenUsed/>
    <w:qFormat/>
    <w:uiPriority w:val="0"/>
    <w:rPr>
      <w:sz w:val="21"/>
      <w:szCs w:val="21"/>
    </w:rPr>
  </w:style>
  <w:style w:type="character" w:styleId="41">
    <w:name w:val="footnote reference"/>
    <w:basedOn w:val="34"/>
    <w:semiHidden/>
    <w:qFormat/>
    <w:uiPriority w:val="0"/>
    <w:rPr>
      <w:vertAlign w:val="superscript"/>
    </w:rPr>
  </w:style>
  <w:style w:type="character" w:customStyle="1" w:styleId="42">
    <w:name w:val="段 Char"/>
    <w:basedOn w:val="34"/>
    <w:link w:val="23"/>
    <w:qFormat/>
    <w:uiPriority w:val="0"/>
    <w:rPr>
      <w:rFonts w:ascii="宋体"/>
      <w:sz w:val="21"/>
      <w:lang w:val="en-US" w:eastAsia="zh-CN" w:bidi="ar-SA"/>
    </w:rPr>
  </w:style>
  <w:style w:type="paragraph" w:customStyle="1" w:styleId="43">
    <w:name w:val="一级条标题"/>
    <w:next w:val="2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3"/>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3"/>
    <w:qFormat/>
    <w:uiPriority w:val="0"/>
    <w:pPr>
      <w:numPr>
        <w:ilvl w:val="0"/>
        <w:numId w:val="0"/>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3"/>
    <w:qFormat/>
    <w:uiPriority w:val="0"/>
    <w:pPr>
      <w:numPr>
        <w:ilvl w:val="4"/>
        <w:numId w:val="2"/>
      </w:numPr>
      <w:outlineLvl w:val="5"/>
    </w:pPr>
  </w:style>
  <w:style w:type="paragraph" w:customStyle="1" w:styleId="57">
    <w:name w:val="五级条标题"/>
    <w:basedOn w:val="56"/>
    <w:next w:val="23"/>
    <w:qFormat/>
    <w:uiPriority w:val="0"/>
    <w:pPr>
      <w:numPr>
        <w:ilvl w:val="5"/>
      </w:numPr>
      <w:outlineLvl w:val="6"/>
    </w:pPr>
  </w:style>
  <w:style w:type="paragraph" w:customStyle="1" w:styleId="58">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0" w:beforeLines="0" w:after="0" w:afterLines="0"/>
      <w:outlineLvl w:val="9"/>
    </w:pPr>
    <w:rPr>
      <w:rFonts w:ascii="宋体" w:eastAsia="宋体"/>
      <w:sz w:val="18"/>
      <w:szCs w:val="18"/>
    </w:rPr>
  </w:style>
  <w:style w:type="paragraph" w:customStyle="1" w:styleId="64">
    <w:name w:val="二级无"/>
    <w:basedOn w:val="47"/>
    <w:qFormat/>
    <w:uiPriority w:val="0"/>
    <w:pPr>
      <w:spacing w:before="0" w:beforeLines="0" w:after="0" w:afterLines="0"/>
    </w:pPr>
    <w:rPr>
      <w:rFonts w:ascii="宋体" w:eastAsia="宋体"/>
    </w:rPr>
  </w:style>
  <w:style w:type="paragraph" w:customStyle="1" w:styleId="65">
    <w:name w:val="注：（正文）"/>
    <w:basedOn w:val="58"/>
    <w:next w:val="23"/>
    <w:qFormat/>
    <w:uiPriority w:val="0"/>
    <w:pPr>
      <w:numPr>
        <w:ilvl w:val="0"/>
        <w:numId w:val="9"/>
      </w:numPr>
    </w:pPr>
  </w:style>
  <w:style w:type="paragraph" w:customStyle="1" w:styleId="66">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basedOn w:val="34"/>
    <w:qFormat/>
    <w:uiPriority w:val="0"/>
    <w:rPr>
      <w:rFonts w:ascii="黑体" w:eastAsia="黑体"/>
      <w:spacing w:val="85"/>
      <w:w w:val="100"/>
      <w:position w:val="3"/>
      <w:sz w:val="28"/>
      <w:szCs w:val="28"/>
    </w:rPr>
  </w:style>
  <w:style w:type="paragraph" w:customStyle="1" w:styleId="7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3"/>
    <w:next w:val="23"/>
    <w:qFormat/>
    <w:uiPriority w:val="0"/>
    <w:pPr>
      <w:ind w:firstLine="0" w:firstLineChars="0"/>
      <w:jc w:val="center"/>
    </w:pPr>
    <w:rPr>
      <w:rFonts w:ascii="黑体" w:eastAsia="黑体"/>
    </w:rPr>
  </w:style>
  <w:style w:type="paragraph" w:customStyle="1" w:styleId="87">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8">
    <w:name w:val="附录表标题"/>
    <w:basedOn w:val="1"/>
    <w:next w:val="23"/>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89">
    <w:name w:val="附录二级条标题"/>
    <w:basedOn w:val="1"/>
    <w:next w:val="23"/>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0" w:beforeLines="0" w:after="0" w:afterLines="0"/>
    </w:pPr>
    <w:rPr>
      <w:rFonts w:ascii="宋体" w:eastAsia="宋体"/>
      <w:szCs w:val="21"/>
    </w:rPr>
  </w:style>
  <w:style w:type="paragraph" w:customStyle="1" w:styleId="91">
    <w:name w:val="附录公式"/>
    <w:basedOn w:val="23"/>
    <w:next w:val="23"/>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3"/>
    <w:qFormat/>
    <w:uiPriority w:val="0"/>
    <w:pPr>
      <w:numPr>
        <w:ilvl w:val="4"/>
      </w:numPr>
      <w:outlineLvl w:val="4"/>
    </w:pPr>
  </w:style>
  <w:style w:type="paragraph" w:customStyle="1" w:styleId="95">
    <w:name w:val="附录三级无"/>
    <w:basedOn w:val="94"/>
    <w:qFormat/>
    <w:uiPriority w:val="0"/>
    <w:pPr>
      <w:tabs>
        <w:tab w:val="clear" w:pos="360"/>
      </w:tabs>
      <w:spacing w:before="0" w:beforeLines="0" w:after="0" w:afterLines="0"/>
    </w:pPr>
    <w:rPr>
      <w:rFonts w:ascii="宋体" w:eastAsia="宋体"/>
      <w:szCs w:val="21"/>
    </w:rPr>
  </w:style>
  <w:style w:type="paragraph" w:customStyle="1" w:styleId="96">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7">
    <w:name w:val="附录四级条标题"/>
    <w:basedOn w:val="94"/>
    <w:next w:val="23"/>
    <w:qFormat/>
    <w:uiPriority w:val="0"/>
    <w:pPr>
      <w:numPr>
        <w:ilvl w:val="5"/>
      </w:numPr>
      <w:outlineLvl w:val="5"/>
    </w:pPr>
  </w:style>
  <w:style w:type="paragraph" w:customStyle="1" w:styleId="98">
    <w:name w:val="附录四级无"/>
    <w:basedOn w:val="97"/>
    <w:qFormat/>
    <w:uiPriority w:val="0"/>
    <w:pPr>
      <w:tabs>
        <w:tab w:val="clear" w:pos="360"/>
      </w:tabs>
      <w:spacing w:before="0" w:beforeLines="0" w:after="0" w:afterLines="0"/>
    </w:pPr>
    <w:rPr>
      <w:rFonts w:ascii="宋体" w:eastAsia="宋体"/>
      <w:szCs w:val="21"/>
    </w:rPr>
  </w:style>
  <w:style w:type="paragraph" w:customStyle="1" w:styleId="99">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0">
    <w:name w:val="附录图标题"/>
    <w:basedOn w:val="1"/>
    <w:next w:val="23"/>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1">
    <w:name w:val="附录五级条标题"/>
    <w:basedOn w:val="97"/>
    <w:next w:val="23"/>
    <w:qFormat/>
    <w:uiPriority w:val="0"/>
    <w:pPr>
      <w:numPr>
        <w:ilvl w:val="6"/>
      </w:numPr>
      <w:outlineLvl w:val="6"/>
    </w:pPr>
  </w:style>
  <w:style w:type="paragraph" w:customStyle="1" w:styleId="102">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章标题"/>
    <w:next w:val="23"/>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3"/>
    <w:qFormat/>
    <w:uiPriority w:val="0"/>
    <w:pPr>
      <w:numPr>
        <w:ilvl w:val="2"/>
      </w:numPr>
      <w:autoSpaceDN w:val="0"/>
      <w:spacing w:before="50" w:beforeLines="50" w:after="50" w:afterLines="50"/>
      <w:outlineLvl w:val="2"/>
    </w:pPr>
  </w:style>
  <w:style w:type="paragraph" w:customStyle="1" w:styleId="105">
    <w:name w:val="附录一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0" w:beforeLines="0" w:after="0" w:afterLines="0"/>
    </w:pPr>
    <w:rPr>
      <w:rFonts w:ascii="宋体" w:eastAsia="宋体"/>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3"/>
    <w:next w:val="23"/>
    <w:qFormat/>
    <w:uiPriority w:val="0"/>
    <w:pPr>
      <w:ind w:firstLine="360"/>
    </w:pPr>
    <w:rPr>
      <w:sz w:val="18"/>
    </w:rPr>
  </w:style>
  <w:style w:type="paragraph" w:customStyle="1" w:styleId="117">
    <w:name w:val="首示例"/>
    <w:next w:val="23"/>
    <w:link w:val="118"/>
    <w:qFormat/>
    <w:uiPriority w:val="0"/>
    <w:pPr>
      <w:tabs>
        <w:tab w:val="left" w:pos="360"/>
      </w:tabs>
    </w:pPr>
    <w:rPr>
      <w:rFonts w:ascii="宋体" w:hAnsi="宋体" w:eastAsia="宋体" w:cs="Times New Roman"/>
      <w:kern w:val="2"/>
      <w:sz w:val="18"/>
      <w:szCs w:val="18"/>
      <w:lang w:val="en-US" w:eastAsia="zh-CN" w:bidi="ar-SA"/>
    </w:rPr>
  </w:style>
  <w:style w:type="character" w:customStyle="1" w:styleId="118">
    <w:name w:val="首示例 Char"/>
    <w:basedOn w:val="34"/>
    <w:link w:val="117"/>
    <w:qFormat/>
    <w:uiPriority w:val="0"/>
    <w:rPr>
      <w:rFonts w:ascii="宋体" w:hAnsi="宋体"/>
      <w:kern w:val="2"/>
      <w:sz w:val="18"/>
      <w:szCs w:val="18"/>
    </w:rPr>
  </w:style>
  <w:style w:type="paragraph" w:customStyle="1" w:styleId="119">
    <w:name w:val="四级无"/>
    <w:basedOn w:val="56"/>
    <w:qFormat/>
    <w:uiPriority w:val="0"/>
    <w:pPr>
      <w:spacing w:before="0" w:beforeLines="0" w:after="0" w:afterLines="0"/>
    </w:pPr>
    <w:rPr>
      <w:rFonts w:ascii="宋体" w:eastAsia="宋体"/>
    </w:rPr>
  </w:style>
  <w:style w:type="paragraph" w:customStyle="1" w:styleId="120">
    <w:name w:val="条文脚注"/>
    <w:basedOn w:val="24"/>
    <w:qFormat/>
    <w:uiPriority w:val="0"/>
    <w:pPr>
      <w:numPr>
        <w:numId w:val="0"/>
      </w:numPr>
      <w:jc w:val="both"/>
    </w:pPr>
  </w:style>
  <w:style w:type="paragraph" w:customStyle="1" w:styleId="121">
    <w:name w:val="图标脚注说明"/>
    <w:basedOn w:val="23"/>
    <w:qFormat/>
    <w:uiPriority w:val="0"/>
    <w:pPr>
      <w:ind w:left="840" w:hanging="420" w:firstLineChars="0"/>
    </w:pPr>
    <w:rPr>
      <w:sz w:val="18"/>
      <w:szCs w:val="18"/>
    </w:rPr>
  </w:style>
  <w:style w:type="paragraph" w:customStyle="1" w:styleId="122">
    <w:name w:val="图表脚注说明"/>
    <w:basedOn w:val="1"/>
    <w:qFormat/>
    <w:uiPriority w:val="0"/>
    <w:pPr>
      <w:ind w:left="544" w:hanging="181"/>
    </w:pPr>
    <w:rPr>
      <w:rFonts w:ascii="宋体"/>
      <w:sz w:val="18"/>
      <w:szCs w:val="18"/>
    </w:rPr>
  </w:style>
  <w:style w:type="paragraph" w:customStyle="1" w:styleId="123">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0" w:beforeLines="0" w:after="0" w:afterLines="0"/>
    </w:pPr>
    <w:rPr>
      <w:rFonts w:ascii="宋体" w:eastAsia="宋体"/>
    </w:rPr>
  </w:style>
  <w:style w:type="paragraph" w:customStyle="1" w:styleId="126">
    <w:name w:val="一级无"/>
    <w:basedOn w:val="43"/>
    <w:qFormat/>
    <w:uiPriority w:val="0"/>
    <w:pPr>
      <w:spacing w:before="0" w:beforeLines="0" w:after="0" w:afterLines="0"/>
    </w:pPr>
    <w:rPr>
      <w:rFonts w:ascii="宋体" w:eastAsia="宋体"/>
    </w:rPr>
  </w:style>
  <w:style w:type="paragraph" w:customStyle="1" w:styleId="127">
    <w:name w:val="正文表标题"/>
    <w:next w:val="23"/>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3"/>
    <w:next w:val="23"/>
    <w:qFormat/>
    <w:uiPriority w:val="0"/>
    <w:pPr>
      <w:ind w:firstLine="0" w:firstLineChars="0"/>
    </w:pPr>
  </w:style>
  <w:style w:type="paragraph" w:customStyle="1" w:styleId="129">
    <w:name w:val="正文图标题"/>
    <w:next w:val="23"/>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wrap="around" w:vAnchor="page" w:hAnchor="text" w:x="1419"/>
    </w:p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630"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paragraph" w:customStyle="1" w:styleId="138">
    <w:name w:val="p0"/>
    <w:basedOn w:val="1"/>
    <w:qFormat/>
    <w:uiPriority w:val="0"/>
    <w:pPr>
      <w:widowControl/>
    </w:pPr>
    <w:rPr>
      <w:kern w:val="0"/>
      <w:szCs w:val="21"/>
    </w:rPr>
  </w:style>
  <w:style w:type="character" w:customStyle="1" w:styleId="139">
    <w:name w:val="批注框文本 字符"/>
    <w:basedOn w:val="34"/>
    <w:link w:val="16"/>
    <w:qFormat/>
    <w:uiPriority w:val="0"/>
    <w:rPr>
      <w:kern w:val="2"/>
      <w:sz w:val="18"/>
      <w:szCs w:val="18"/>
    </w:rPr>
  </w:style>
  <w:style w:type="paragraph" w:customStyle="1" w:styleId="14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42">
    <w:name w:val="批注文字 字符"/>
    <w:basedOn w:val="34"/>
    <w:link w:val="8"/>
    <w:semiHidden/>
    <w:qFormat/>
    <w:uiPriority w:val="0"/>
    <w:rPr>
      <w:kern w:val="2"/>
      <w:sz w:val="21"/>
      <w:szCs w:val="24"/>
    </w:rPr>
  </w:style>
  <w:style w:type="character" w:customStyle="1" w:styleId="143">
    <w:name w:val="批注主题 字符"/>
    <w:basedOn w:val="142"/>
    <w:link w:val="31"/>
    <w:semiHidden/>
    <w:qFormat/>
    <w:uiPriority w:val="0"/>
    <w:rPr>
      <w:b/>
      <w:bCs/>
      <w:kern w:val="2"/>
      <w:sz w:val="21"/>
      <w:szCs w:val="24"/>
    </w:rPr>
  </w:style>
  <w:style w:type="paragraph" w:customStyle="1" w:styleId="144">
    <w:name w:val="修订3"/>
    <w:hidden/>
    <w:unhideWhenUsed/>
    <w:qFormat/>
    <w:uiPriority w:val="99"/>
    <w:rPr>
      <w:rFonts w:ascii="Times New Roman" w:hAnsi="Times New Roman" w:eastAsia="宋体" w:cs="Times New Roman"/>
      <w:kern w:val="2"/>
      <w:sz w:val="21"/>
      <w:szCs w:val="24"/>
      <w:lang w:val="en-US" w:eastAsia="zh-CN" w:bidi="ar-SA"/>
    </w:rPr>
  </w:style>
  <w:style w:type="paragraph" w:styleId="145">
    <w:name w:val="List Paragraph"/>
    <w:basedOn w:val="1"/>
    <w:qFormat/>
    <w:uiPriority w:val="34"/>
    <w:pPr>
      <w:ind w:firstLine="420" w:firstLineChars="200"/>
    </w:pPr>
  </w:style>
  <w:style w:type="character" w:customStyle="1" w:styleId="146">
    <w:name w:val="标题 1 字符"/>
    <w:basedOn w:val="34"/>
    <w:link w:val="2"/>
    <w:qFormat/>
    <w:uiPriority w:val="0"/>
    <w:rPr>
      <w:b/>
      <w:bCs/>
      <w:kern w:val="44"/>
      <w:sz w:val="44"/>
      <w:szCs w:val="44"/>
    </w:rPr>
  </w:style>
  <w:style w:type="paragraph" w:customStyle="1" w:styleId="1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48">
    <w:name w:val="修订4"/>
    <w:hidden/>
    <w:unhideWhenUsed/>
    <w:qFormat/>
    <w:uiPriority w:val="99"/>
    <w:rPr>
      <w:rFonts w:ascii="Times New Roman" w:hAnsi="Times New Roman" w:eastAsia="宋体" w:cs="Times New Roman"/>
      <w:kern w:val="2"/>
      <w:sz w:val="21"/>
      <w:szCs w:val="24"/>
      <w:lang w:val="en-US" w:eastAsia="zh-CN" w:bidi="ar-SA"/>
    </w:rPr>
  </w:style>
  <w:style w:type="character" w:styleId="149">
    <w:name w:val="Placeholder Text"/>
    <w:basedOn w:val="34"/>
    <w:unhideWhenUsed/>
    <w:qFormat/>
    <w:uiPriority w:val="99"/>
    <w:rPr>
      <w:color w:val="666666"/>
    </w:rPr>
  </w:style>
  <w:style w:type="paragraph" w:customStyle="1" w:styleId="150">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5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microsoft.com/office/2007/relationships/hdphoto" Target="media/image2.wdp"/><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24663-863B-4701-9987-134799C8353E}">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14</Pages>
  <Words>1408</Words>
  <Characters>1665</Characters>
  <Lines>56</Lines>
  <Paragraphs>16</Paragraphs>
  <TotalTime>70</TotalTime>
  <ScaleCrop>false</ScaleCrop>
  <LinksUpToDate>false</LinksUpToDate>
  <CharactersWithSpaces>1729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2025-05-22T00:48:00Z</dcterms:created>
  <dc:creator>CNIS</dc:creator>
  <cp:lastModifiedBy>杨煜</cp:lastModifiedBy>
  <cp:lastPrinted>2014-12-12T05:20:00Z</cp:lastPrinted>
  <dcterms:modified xsi:type="dcterms:W3CDTF">2025-06-03T13:30:57Z</dcterms:modified>
  <dc:title>标准名称</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5DF55DA2F77240B18AC6AD2AE97471B4_13</vt:lpwstr>
  </property>
  <property fmtid="{D5CDD505-2E9C-101B-9397-08002B2CF9AE}" pid="4" name="KSOTemplateDocerSaveRecord">
    <vt:lpwstr>eyJoZGlkIjoiMmZhNzM4NmNiZWMxOWUzNGU4ZmM4M2M2MWY4NjM1NTciLCJ1c2VySWQiOiIxNDU0NzM2Mjc1In0=</vt:lpwstr>
  </property>
</Properties>
</file>