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" w:eastAsia="仿宋_GB2312"/>
          <w:bCs/>
          <w:sz w:val="32"/>
          <w:szCs w:val="32"/>
        </w:rPr>
      </w:pPr>
      <w:r>
        <w:rPr>
          <w:rFonts w:hint="eastAsia" w:ascii="仿宋_GB2312" w:hAnsi="仿宋" w:eastAsia="仿宋_GB2312"/>
          <w:bCs/>
          <w:sz w:val="32"/>
          <w:szCs w:val="32"/>
        </w:rPr>
        <w:t>附件：</w:t>
      </w:r>
    </w:p>
    <w:p>
      <w:pPr>
        <w:spacing w:line="640" w:lineRule="exact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上药控股有限公司</w:t>
      </w:r>
      <w:r>
        <w:rPr>
          <w:rFonts w:hint="eastAsia" w:ascii="方正小标宋简体" w:hAnsi="仿宋" w:eastAsia="方正小标宋简体"/>
          <w:sz w:val="44"/>
          <w:szCs w:val="44"/>
        </w:rPr>
        <w:t>“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注射用A型肉毒毒素</w:t>
      </w:r>
    </w:p>
    <w:p>
      <w:pPr>
        <w:spacing w:line="640" w:lineRule="exact"/>
        <w:ind w:firstLine="600"/>
        <w:jc w:val="center"/>
        <w:rPr>
          <w:rFonts w:ascii="方正小标宋简体" w:hAnsi="仿宋" w:eastAsia="方正小标宋简体"/>
          <w:b/>
          <w:bCs/>
          <w:sz w:val="44"/>
          <w:szCs w:val="44"/>
        </w:rPr>
      </w:pP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（商品名：吉适）</w:t>
      </w:r>
      <w:r>
        <w:rPr>
          <w:rFonts w:hint="eastAsia" w:ascii="方正小标宋简体" w:hAnsi="仿宋" w:eastAsia="方正小标宋简体"/>
          <w:sz w:val="44"/>
          <w:szCs w:val="44"/>
        </w:rPr>
        <w:t>”</w:t>
      </w:r>
      <w:r>
        <w:rPr>
          <w:rFonts w:hint="eastAsia" w:ascii="方正小标宋简体" w:hAnsi="仿宋" w:eastAsia="方正小标宋简体"/>
          <w:b/>
          <w:bCs/>
          <w:sz w:val="44"/>
          <w:szCs w:val="44"/>
        </w:rPr>
        <w:t>二级经销商名单</w:t>
      </w:r>
    </w:p>
    <w:p>
      <w:pPr>
        <w:spacing w:line="640" w:lineRule="exact"/>
        <w:ind w:firstLine="600"/>
        <w:jc w:val="center"/>
        <w:rPr>
          <w:rFonts w:ascii="仿宋" w:hAnsi="仿宋" w:eastAsia="仿宋"/>
          <w:b/>
          <w:bCs/>
          <w:sz w:val="30"/>
          <w:szCs w:val="30"/>
        </w:rPr>
      </w:pPr>
    </w:p>
    <w:tbl>
      <w:tblPr>
        <w:tblStyle w:val="4"/>
        <w:tblW w:w="9553" w:type="dxa"/>
        <w:tblInd w:w="-694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76"/>
        <w:gridCol w:w="1254"/>
        <w:gridCol w:w="4912"/>
        <w:gridCol w:w="211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省份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各省经销商数量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经销商名称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color w:val="000000"/>
                <w:kern w:val="0"/>
                <w:sz w:val="28"/>
                <w:szCs w:val="28"/>
              </w:rPr>
              <w:t>备注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国药控股股份有限公司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上药康德乐罗达（上海）医药有限公司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上药控股四川生物制品有限公司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widowControl/>
              <w:spacing w:line="500" w:lineRule="exact"/>
              <w:jc w:val="left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上药控股安徽生物制品有限公司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华润医药商业集团有限公司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国药控股福建有限公司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  <w:t>２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上药控股广东有限公司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广西壮族</w:t>
            </w:r>
          </w:p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上药康德乐（湖北）医药有限公司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上药控股（湖南）有限公司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国药控股湖南有限公司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江苏省润天生化医药有限公司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江苏九州通医药有限公司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254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上药控股山东有限公司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国药集团山西有限公司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陕西省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陕西华氏医药有限公司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ind w:firstLine="140" w:firstLineChars="50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重庆医药集团陕西有限公司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ind w:firstLine="140" w:firstLineChars="50"/>
              <w:rPr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华润天津医药有限公司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云南省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国药控股云南有限公司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上药凯仑（杭州）医药股份有限公司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浙江英特生物制品营销有限公司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254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49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  <w:t>上药控股有限公司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color w:val="FF0000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国药集团重庆医疗器械有限公司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254" w:type="dxa"/>
            <w:vMerge w:val="continue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9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重庆医药集团医贸药品有限公司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甘肃省</w:t>
            </w:r>
          </w:p>
        </w:tc>
        <w:tc>
          <w:tcPr>
            <w:tcW w:w="12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sz w:val="32"/>
                <w:szCs w:val="32"/>
                <w:lang w:eastAsia="zh-CN"/>
              </w:rPr>
              <w:t>重庆医药集团（甘肃）有限公司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</w:tcPr>
          <w:p>
            <w:pPr>
              <w:spacing w:line="500" w:lineRule="exact"/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新增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276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新疆</w:t>
            </w:r>
          </w:p>
        </w:tc>
        <w:tc>
          <w:tcPr>
            <w:tcW w:w="1254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4912" w:type="dxa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</w:tcBorders>
            <w:vAlign w:val="center"/>
          </w:tcPr>
          <w:p>
            <w:pPr>
              <w:widowControl/>
              <w:spacing w:line="500" w:lineRule="exact"/>
              <w:jc w:val="center"/>
              <w:textAlignment w:val="top"/>
              <w:rPr>
                <w:rFonts w:hint="eastAsia" w:ascii="仿宋" w:hAnsi="仿宋" w:eastAsia="仿宋"/>
                <w:sz w:val="32"/>
                <w:szCs w:val="32"/>
                <w:lang w:eastAsia="zh-CN"/>
              </w:rPr>
            </w:pPr>
            <w:r>
              <w:rPr>
                <w:rFonts w:hint="eastAsia" w:ascii="仿宋" w:hAnsi="仿宋" w:eastAsia="仿宋"/>
                <w:color w:val="000000"/>
                <w:kern w:val="0"/>
                <w:sz w:val="28"/>
                <w:szCs w:val="28"/>
                <w:lang w:eastAsia="zh-CN"/>
              </w:rPr>
              <w:t>华润新疆医药有限公司</w:t>
            </w:r>
          </w:p>
        </w:tc>
        <w:tc>
          <w:tcPr>
            <w:tcW w:w="2111" w:type="dxa"/>
            <w:tcBorders>
              <w:top w:val="single" w:color="000000" w:sz="12" w:space="0"/>
              <w:left w:val="nil"/>
              <w:bottom w:val="single" w:color="000000" w:sz="12" w:space="0"/>
              <w:right w:val="single" w:color="000000" w:sz="12" w:space="0"/>
            </w:tcBorders>
            <w:vAlign w:val="top"/>
          </w:tcPr>
          <w:p>
            <w:pPr>
              <w:widowControl/>
              <w:spacing w:line="500" w:lineRule="exact"/>
              <w:ind w:firstLine="140" w:firstLineChars="50"/>
              <w:jc w:val="left"/>
              <w:textAlignment w:val="top"/>
              <w:rPr>
                <w:rFonts w:hint="eastAsia" w:eastAsia="宋体"/>
                <w:sz w:val="28"/>
                <w:szCs w:val="28"/>
                <w:lang w:eastAsia="zh-CN"/>
              </w:rPr>
            </w:pPr>
          </w:p>
        </w:tc>
      </w:tr>
    </w:tbl>
    <w:p>
      <w:pPr>
        <w:spacing w:line="50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kNTRiMzNlYzZlOTJhZmZlYzZlZGE2MDc4ODBkZTkifQ=="/>
  </w:docVars>
  <w:rsids>
    <w:rsidRoot w:val="00EF6D13"/>
    <w:rsid w:val="000E48AC"/>
    <w:rsid w:val="00111762"/>
    <w:rsid w:val="002153DD"/>
    <w:rsid w:val="002551F5"/>
    <w:rsid w:val="00290C2F"/>
    <w:rsid w:val="003031B8"/>
    <w:rsid w:val="00317429"/>
    <w:rsid w:val="00320BC6"/>
    <w:rsid w:val="003723C5"/>
    <w:rsid w:val="00392A60"/>
    <w:rsid w:val="003B658C"/>
    <w:rsid w:val="00492BEB"/>
    <w:rsid w:val="00541347"/>
    <w:rsid w:val="00635310"/>
    <w:rsid w:val="00652365"/>
    <w:rsid w:val="006A6BA8"/>
    <w:rsid w:val="007B34D8"/>
    <w:rsid w:val="007E2C7E"/>
    <w:rsid w:val="007F23D9"/>
    <w:rsid w:val="007F5D8F"/>
    <w:rsid w:val="00872827"/>
    <w:rsid w:val="009612D8"/>
    <w:rsid w:val="009804EA"/>
    <w:rsid w:val="009869AF"/>
    <w:rsid w:val="009B6A0A"/>
    <w:rsid w:val="00A3793D"/>
    <w:rsid w:val="00A80C14"/>
    <w:rsid w:val="00A87EEC"/>
    <w:rsid w:val="00AF2CDB"/>
    <w:rsid w:val="00B6105B"/>
    <w:rsid w:val="00B858F7"/>
    <w:rsid w:val="00C955F3"/>
    <w:rsid w:val="00CA2EE8"/>
    <w:rsid w:val="00D26AE5"/>
    <w:rsid w:val="00DA198C"/>
    <w:rsid w:val="00DC6A97"/>
    <w:rsid w:val="00E06AF2"/>
    <w:rsid w:val="00E6264B"/>
    <w:rsid w:val="00E9105C"/>
    <w:rsid w:val="00EF6D13"/>
    <w:rsid w:val="00F34156"/>
    <w:rsid w:val="00FF6FF9"/>
    <w:rsid w:val="0C151BDB"/>
    <w:rsid w:val="1BE919F4"/>
    <w:rsid w:val="1C2E6317"/>
    <w:rsid w:val="27B7D406"/>
    <w:rsid w:val="29D43A58"/>
    <w:rsid w:val="2EF768EB"/>
    <w:rsid w:val="38A432D6"/>
    <w:rsid w:val="456A48ED"/>
    <w:rsid w:val="546E0830"/>
    <w:rsid w:val="58F579FB"/>
    <w:rsid w:val="5FABAA26"/>
    <w:rsid w:val="AFFD53FB"/>
    <w:rsid w:val="CFD75557"/>
    <w:rsid w:val="EB3FC445"/>
    <w:rsid w:val="EE2F90B1"/>
    <w:rsid w:val="FD1F05F7"/>
    <w:rsid w:val="FFF7BB5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539</Words>
  <Characters>539</Characters>
  <Lines>5</Lines>
  <Paragraphs>1</Paragraphs>
  <TotalTime>13</TotalTime>
  <ScaleCrop>false</ScaleCrop>
  <LinksUpToDate>false</LinksUpToDate>
  <CharactersWithSpaces>540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2022-03-18T10:52:00Z</dcterms:created>
  <dc:creator>刘露</dc:creator>
  <cp:lastModifiedBy>uos</cp:lastModifiedBy>
  <cp:lastPrinted>2024-03-13T14:47:52Z</cp:lastPrinted>
  <dcterms:modified xsi:type="dcterms:W3CDTF">2024-03-13T15:56:36Z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  <property fmtid="{D5CDD505-2E9C-101B-9397-08002B2CF9AE}" pid="3" name="ICV">
    <vt:lpwstr>8AF4CC312DF54113911BB43957DEF52F</vt:lpwstr>
  </property>
</Properties>
</file>