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053D7">
      <w:pPr>
        <w:widowControl/>
        <w:spacing w:line="560" w:lineRule="exact"/>
        <w:ind w:firstLine="0" w:firstLineChars="0"/>
        <w:jc w:val="left"/>
        <w:rPr>
          <w:rFonts w:hint="eastAsia" w:eastAsia="黑体"/>
          <w:sz w:val="32"/>
          <w:szCs w:val="32"/>
          <w:lang w:eastAsia="zh-CN"/>
        </w:rPr>
      </w:pPr>
      <w:r>
        <w:rPr>
          <w:rFonts w:hint="eastAsia" w:eastAsia="黑体"/>
          <w:sz w:val="32"/>
          <w:szCs w:val="32"/>
          <w:lang w:eastAsia="zh-CN"/>
        </w:rPr>
        <w:t>附件</w:t>
      </w:r>
    </w:p>
    <w:p w14:paraId="47776358">
      <w:pPr>
        <w:spacing w:line="400" w:lineRule="exact"/>
        <w:jc w:val="center"/>
        <w:rPr>
          <w:rFonts w:hint="eastAsia" w:eastAsia="方正小标宋简体"/>
          <w:sz w:val="44"/>
          <w:szCs w:val="44"/>
        </w:rPr>
      </w:pPr>
    </w:p>
    <w:p w14:paraId="0B82D8DB">
      <w:pPr>
        <w:spacing w:line="560" w:lineRule="exact"/>
        <w:jc w:val="center"/>
        <w:rPr>
          <w:rFonts w:hint="eastAsia" w:eastAsia="方正小标宋简体"/>
          <w:sz w:val="44"/>
          <w:szCs w:val="44"/>
        </w:rPr>
      </w:pPr>
      <w:r>
        <w:rPr>
          <w:rFonts w:hint="eastAsia" w:eastAsia="方正小标宋简体"/>
          <w:sz w:val="44"/>
          <w:szCs w:val="44"/>
        </w:rPr>
        <w:t>独立软件检查项目</w:t>
      </w:r>
    </w:p>
    <w:p w14:paraId="4F114961">
      <w:pPr>
        <w:spacing w:line="400" w:lineRule="exact"/>
        <w:jc w:val="center"/>
        <w:rPr>
          <w:rFonts w:hint="eastAsia" w:eastAsia="方正小标宋简体"/>
          <w:sz w:val="44"/>
          <w:szCs w:val="44"/>
        </w:rPr>
      </w:pPr>
    </w:p>
    <w:tbl>
      <w:tblPr>
        <w:tblStyle w:val="2"/>
        <w:tblW w:w="50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564"/>
        <w:gridCol w:w="905"/>
        <w:gridCol w:w="4316"/>
        <w:gridCol w:w="705"/>
        <w:gridCol w:w="1136"/>
      </w:tblGrid>
      <w:tr w14:paraId="20C0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1" w:hRule="atLeast"/>
          <w:tblHeader/>
          <w:jc w:val="center"/>
        </w:trPr>
        <w:tc>
          <w:tcPr>
            <w:tcW w:w="589" w:type="pct"/>
            <w:noWrap w:val="0"/>
            <w:vAlign w:val="center"/>
          </w:tcPr>
          <w:p w14:paraId="7FD0C21E">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章节</w:t>
            </w:r>
          </w:p>
        </w:tc>
        <w:tc>
          <w:tcPr>
            <w:tcW w:w="326" w:type="pct"/>
            <w:noWrap w:val="0"/>
            <w:vAlign w:val="center"/>
          </w:tcPr>
          <w:p w14:paraId="6641E3AE">
            <w:pPr>
              <w:widowControl/>
              <w:jc w:val="center"/>
              <w:textAlignment w:val="center"/>
              <w:rPr>
                <w:rFonts w:hint="eastAsia" w:ascii="黑体" w:hAnsi="黑体" w:eastAsia="黑体" w:cs="黑体"/>
                <w:color w:val="000000"/>
                <w:kern w:val="0"/>
                <w:sz w:val="22"/>
                <w:szCs w:val="22"/>
                <w:lang w:bidi="ar"/>
              </w:rPr>
            </w:pPr>
            <w:r>
              <w:rPr>
                <w:rFonts w:hint="eastAsia" w:ascii="黑体" w:hAnsi="黑体" w:eastAsia="黑体" w:cs="黑体"/>
                <w:b w:val="0"/>
                <w:bCs w:val="0"/>
                <w:color w:val="000000"/>
                <w:kern w:val="0"/>
                <w:sz w:val="22"/>
                <w:szCs w:val="22"/>
                <w:lang w:bidi="ar"/>
              </w:rPr>
              <w:t>序号</w:t>
            </w:r>
          </w:p>
        </w:tc>
        <w:tc>
          <w:tcPr>
            <w:tcW w:w="523" w:type="pct"/>
            <w:noWrap w:val="0"/>
            <w:vAlign w:val="center"/>
          </w:tcPr>
          <w:p w14:paraId="7833F812">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条款</w:t>
            </w:r>
          </w:p>
        </w:tc>
        <w:tc>
          <w:tcPr>
            <w:tcW w:w="2496" w:type="pct"/>
            <w:noWrap w:val="0"/>
            <w:vAlign w:val="center"/>
          </w:tcPr>
          <w:p w14:paraId="49D8EAAA">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内容</w:t>
            </w:r>
          </w:p>
        </w:tc>
        <w:tc>
          <w:tcPr>
            <w:tcW w:w="407" w:type="pct"/>
            <w:noWrap w:val="0"/>
            <w:vAlign w:val="center"/>
          </w:tcPr>
          <w:p w14:paraId="0A23BCC4">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风险等级</w:t>
            </w:r>
          </w:p>
        </w:tc>
        <w:tc>
          <w:tcPr>
            <w:tcW w:w="657" w:type="pct"/>
            <w:noWrap w:val="0"/>
            <w:vAlign w:val="center"/>
          </w:tcPr>
          <w:p w14:paraId="40D5DFF8">
            <w:pPr>
              <w:widowControl/>
              <w:jc w:val="center"/>
              <w:textAlignment w:val="center"/>
              <w:rPr>
                <w:rFonts w:hint="eastAsia" w:ascii="黑体" w:hAnsi="黑体" w:eastAsia="黑体" w:cs="黑体"/>
                <w:b w:val="0"/>
                <w:bCs w:val="0"/>
                <w:color w:val="000000"/>
                <w:sz w:val="22"/>
                <w:szCs w:val="22"/>
              </w:rPr>
            </w:pPr>
            <w:r>
              <w:rPr>
                <w:rFonts w:hint="eastAsia" w:ascii="黑体" w:hAnsi="黑体" w:eastAsia="黑体" w:cs="黑体"/>
                <w:b w:val="0"/>
                <w:bCs w:val="0"/>
                <w:color w:val="000000"/>
                <w:kern w:val="0"/>
                <w:sz w:val="22"/>
                <w:szCs w:val="22"/>
                <w:lang w:bidi="ar"/>
              </w:rPr>
              <w:t>规范条款</w:t>
            </w:r>
            <w:r>
              <w:rPr>
                <w:rFonts w:hint="eastAsia" w:ascii="黑体" w:hAnsi="黑体" w:eastAsia="黑体" w:cs="黑体"/>
                <w:kern w:val="0"/>
                <w:sz w:val="22"/>
                <w:szCs w:val="22"/>
                <w:lang w:bidi="ar"/>
              </w:rPr>
              <w:t>/附录条款</w:t>
            </w:r>
          </w:p>
        </w:tc>
      </w:tr>
      <w:tr w14:paraId="67F2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restart"/>
            <w:noWrap w:val="0"/>
            <w:vAlign w:val="center"/>
          </w:tcPr>
          <w:p w14:paraId="609EA036">
            <w:pPr>
              <w:widowControl/>
              <w:jc w:val="center"/>
              <w:textAlignment w:val="center"/>
              <w:rPr>
                <w:rFonts w:eastAsia="仿宋_GB2312"/>
                <w:color w:val="000000"/>
                <w:sz w:val="22"/>
                <w:szCs w:val="22"/>
              </w:rPr>
            </w:pPr>
            <w:r>
              <w:rPr>
                <w:rFonts w:eastAsia="仿宋_GB2312"/>
                <w:color w:val="000000"/>
                <w:kern w:val="0"/>
                <w:sz w:val="22"/>
                <w:szCs w:val="22"/>
                <w:lang w:bidi="ar"/>
              </w:rPr>
              <w:t>第一章 总则</w:t>
            </w:r>
          </w:p>
        </w:tc>
        <w:tc>
          <w:tcPr>
            <w:tcW w:w="326" w:type="pct"/>
            <w:noWrap w:val="0"/>
            <w:vAlign w:val="center"/>
          </w:tcPr>
          <w:p w14:paraId="492F37A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w:t>
            </w:r>
          </w:p>
        </w:tc>
        <w:tc>
          <w:tcPr>
            <w:tcW w:w="523" w:type="pct"/>
            <w:noWrap w:val="0"/>
            <w:vAlign w:val="center"/>
          </w:tcPr>
          <w:p w14:paraId="7355AB8F">
            <w:pPr>
              <w:widowControl/>
              <w:jc w:val="center"/>
              <w:textAlignment w:val="center"/>
              <w:rPr>
                <w:rFonts w:eastAsia="仿宋_GB2312"/>
                <w:color w:val="000000"/>
                <w:sz w:val="22"/>
                <w:szCs w:val="22"/>
              </w:rPr>
            </w:pPr>
            <w:r>
              <w:rPr>
                <w:rFonts w:eastAsia="仿宋_GB2312"/>
                <w:color w:val="000000"/>
                <w:kern w:val="0"/>
                <w:sz w:val="22"/>
                <w:szCs w:val="22"/>
                <w:lang w:bidi="ar"/>
              </w:rPr>
              <w:t>1.1.1</w:t>
            </w:r>
          </w:p>
        </w:tc>
        <w:tc>
          <w:tcPr>
            <w:tcW w:w="2496" w:type="pct"/>
            <w:noWrap w:val="0"/>
            <w:vAlign w:val="center"/>
          </w:tcPr>
          <w:p w14:paraId="76E6D2B4">
            <w:pPr>
              <w:widowControl/>
              <w:spacing w:line="260" w:lineRule="exact"/>
              <w:jc w:val="left"/>
              <w:textAlignment w:val="center"/>
              <w:rPr>
                <w:rFonts w:eastAsia="仿宋_GB2312"/>
                <w:color w:val="000000"/>
                <w:sz w:val="22"/>
                <w:szCs w:val="22"/>
              </w:rPr>
            </w:pPr>
            <w:r>
              <w:rPr>
                <w:rFonts w:eastAsia="仿宋_GB2312"/>
                <w:color w:val="000000"/>
                <w:kern w:val="0"/>
                <w:sz w:val="22"/>
                <w:szCs w:val="22"/>
                <w:lang w:bidi="ar"/>
              </w:rPr>
              <w:t>企业应当按照本规范的要求，结合产品特点，建立健全与所生产医疗器械相适应的质量管理体系，并保证其有效运行。质量管理体系涵盖委托研发、委托生产、外协加工以及委托检验等。</w:t>
            </w:r>
          </w:p>
        </w:tc>
        <w:tc>
          <w:tcPr>
            <w:tcW w:w="407" w:type="pct"/>
            <w:noWrap w:val="0"/>
            <w:vAlign w:val="center"/>
          </w:tcPr>
          <w:p w14:paraId="68CEFEE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68B2D92">
            <w:pPr>
              <w:widowControl/>
              <w:jc w:val="center"/>
              <w:textAlignment w:val="center"/>
              <w:rPr>
                <w:rFonts w:eastAsia="仿宋_GB2312"/>
                <w:color w:val="000000"/>
                <w:sz w:val="22"/>
                <w:szCs w:val="22"/>
              </w:rPr>
            </w:pPr>
            <w:r>
              <w:rPr>
                <w:rFonts w:eastAsia="仿宋_GB2312"/>
                <w:color w:val="000000"/>
                <w:kern w:val="0"/>
                <w:sz w:val="22"/>
                <w:szCs w:val="22"/>
                <w:lang w:bidi="ar"/>
              </w:rPr>
              <w:t>《规范》第三条</w:t>
            </w:r>
          </w:p>
        </w:tc>
      </w:tr>
      <w:tr w14:paraId="4FDD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73A95D53">
            <w:pPr>
              <w:jc w:val="center"/>
              <w:rPr>
                <w:rFonts w:eastAsia="仿宋_GB2312"/>
                <w:color w:val="000000"/>
                <w:sz w:val="22"/>
                <w:szCs w:val="22"/>
              </w:rPr>
            </w:pPr>
          </w:p>
        </w:tc>
        <w:tc>
          <w:tcPr>
            <w:tcW w:w="326" w:type="pct"/>
            <w:noWrap w:val="0"/>
            <w:vAlign w:val="center"/>
          </w:tcPr>
          <w:p w14:paraId="5AFC55E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w:t>
            </w:r>
          </w:p>
        </w:tc>
        <w:tc>
          <w:tcPr>
            <w:tcW w:w="523" w:type="pct"/>
            <w:noWrap w:val="0"/>
            <w:vAlign w:val="center"/>
          </w:tcPr>
          <w:p w14:paraId="2B344D46">
            <w:pPr>
              <w:widowControl/>
              <w:jc w:val="center"/>
              <w:textAlignment w:val="center"/>
              <w:rPr>
                <w:rFonts w:eastAsia="仿宋_GB2312"/>
                <w:color w:val="000000"/>
                <w:sz w:val="22"/>
                <w:szCs w:val="22"/>
              </w:rPr>
            </w:pPr>
            <w:r>
              <w:rPr>
                <w:rFonts w:eastAsia="仿宋_GB2312"/>
                <w:color w:val="000000"/>
                <w:kern w:val="0"/>
                <w:sz w:val="22"/>
                <w:szCs w:val="22"/>
                <w:lang w:bidi="ar"/>
              </w:rPr>
              <w:t>1.2.1</w:t>
            </w:r>
          </w:p>
        </w:tc>
        <w:tc>
          <w:tcPr>
            <w:tcW w:w="2496" w:type="pct"/>
            <w:noWrap w:val="0"/>
            <w:vAlign w:val="center"/>
          </w:tcPr>
          <w:p w14:paraId="29ED18E4">
            <w:pPr>
              <w:widowControl/>
              <w:spacing w:line="260" w:lineRule="exact"/>
              <w:jc w:val="left"/>
              <w:textAlignment w:val="center"/>
              <w:rPr>
                <w:rFonts w:eastAsia="仿宋_GB2312"/>
                <w:color w:val="000000"/>
                <w:sz w:val="22"/>
                <w:szCs w:val="22"/>
              </w:rPr>
            </w:pPr>
            <w:r>
              <w:rPr>
                <w:rFonts w:eastAsia="仿宋_GB2312"/>
                <w:color w:val="000000"/>
                <w:kern w:val="0"/>
                <w:sz w:val="22"/>
                <w:szCs w:val="22"/>
                <w:lang w:bidi="ar"/>
              </w:rPr>
              <w:t>企业应当将风险管理理念贯穿于质量管理体系运行全过程，所采取的控制措施应当与产品存在的风险相适应。</w:t>
            </w:r>
          </w:p>
        </w:tc>
        <w:tc>
          <w:tcPr>
            <w:tcW w:w="407" w:type="pct"/>
            <w:noWrap w:val="0"/>
            <w:vAlign w:val="center"/>
          </w:tcPr>
          <w:p w14:paraId="5592C10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DDB2833">
            <w:pPr>
              <w:widowControl/>
              <w:jc w:val="center"/>
              <w:textAlignment w:val="center"/>
              <w:rPr>
                <w:rFonts w:eastAsia="仿宋_GB2312"/>
                <w:color w:val="000000"/>
                <w:sz w:val="22"/>
                <w:szCs w:val="22"/>
              </w:rPr>
            </w:pPr>
            <w:r>
              <w:rPr>
                <w:rFonts w:eastAsia="仿宋_GB2312"/>
                <w:color w:val="000000"/>
                <w:kern w:val="0"/>
                <w:sz w:val="22"/>
                <w:szCs w:val="22"/>
                <w:lang w:bidi="ar"/>
              </w:rPr>
              <w:t>《规范》第四条</w:t>
            </w:r>
          </w:p>
        </w:tc>
      </w:tr>
      <w:tr w14:paraId="64DD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restart"/>
            <w:noWrap w:val="0"/>
            <w:vAlign w:val="center"/>
          </w:tcPr>
          <w:p w14:paraId="07AC8C40">
            <w:pPr>
              <w:widowControl/>
              <w:jc w:val="center"/>
              <w:textAlignment w:val="center"/>
              <w:rPr>
                <w:rFonts w:eastAsia="仿宋_GB2312"/>
                <w:color w:val="000000"/>
                <w:sz w:val="22"/>
                <w:szCs w:val="22"/>
              </w:rPr>
            </w:pPr>
            <w:r>
              <w:rPr>
                <w:rFonts w:eastAsia="仿宋_GB2312"/>
                <w:color w:val="000000"/>
                <w:kern w:val="0"/>
                <w:sz w:val="22"/>
                <w:szCs w:val="22"/>
                <w:lang w:bidi="ar"/>
              </w:rPr>
              <w:t>第二章 质量保证</w:t>
            </w:r>
          </w:p>
        </w:tc>
        <w:tc>
          <w:tcPr>
            <w:tcW w:w="326" w:type="pct"/>
            <w:noWrap w:val="0"/>
            <w:vAlign w:val="center"/>
          </w:tcPr>
          <w:p w14:paraId="6215A7B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w:t>
            </w:r>
          </w:p>
        </w:tc>
        <w:tc>
          <w:tcPr>
            <w:tcW w:w="523" w:type="pct"/>
            <w:noWrap w:val="0"/>
            <w:vAlign w:val="center"/>
          </w:tcPr>
          <w:p w14:paraId="1196F1E7">
            <w:pPr>
              <w:widowControl/>
              <w:jc w:val="center"/>
              <w:textAlignment w:val="center"/>
              <w:rPr>
                <w:rFonts w:eastAsia="仿宋_GB2312"/>
                <w:color w:val="000000"/>
                <w:sz w:val="22"/>
                <w:szCs w:val="22"/>
              </w:rPr>
            </w:pPr>
            <w:r>
              <w:rPr>
                <w:rFonts w:eastAsia="仿宋_GB2312"/>
                <w:color w:val="000000"/>
                <w:kern w:val="0"/>
                <w:sz w:val="22"/>
                <w:szCs w:val="22"/>
                <w:lang w:bidi="ar"/>
              </w:rPr>
              <w:t>2.1.1</w:t>
            </w:r>
          </w:p>
        </w:tc>
        <w:tc>
          <w:tcPr>
            <w:tcW w:w="2496" w:type="pct"/>
            <w:noWrap w:val="0"/>
            <w:vAlign w:val="center"/>
          </w:tcPr>
          <w:p w14:paraId="7F35303B">
            <w:pPr>
              <w:widowControl/>
              <w:spacing w:line="260" w:lineRule="exact"/>
              <w:jc w:val="left"/>
              <w:textAlignment w:val="center"/>
              <w:rPr>
                <w:rFonts w:eastAsia="仿宋_GB2312"/>
                <w:color w:val="000000"/>
                <w:sz w:val="22"/>
                <w:szCs w:val="22"/>
              </w:rPr>
            </w:pPr>
            <w:r>
              <w:rPr>
                <w:rFonts w:eastAsia="仿宋_GB2312"/>
                <w:color w:val="000000"/>
                <w:kern w:val="0"/>
                <w:sz w:val="22"/>
                <w:szCs w:val="22"/>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407" w:type="pct"/>
            <w:noWrap w:val="0"/>
            <w:vAlign w:val="center"/>
          </w:tcPr>
          <w:p w14:paraId="67341CE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13DB283">
            <w:pPr>
              <w:widowControl/>
              <w:jc w:val="center"/>
              <w:textAlignment w:val="center"/>
              <w:rPr>
                <w:rFonts w:eastAsia="仿宋_GB2312"/>
                <w:color w:val="000000"/>
                <w:sz w:val="22"/>
                <w:szCs w:val="22"/>
              </w:rPr>
            </w:pPr>
            <w:r>
              <w:rPr>
                <w:rFonts w:eastAsia="仿宋_GB2312"/>
                <w:color w:val="000000"/>
                <w:kern w:val="0"/>
                <w:sz w:val="22"/>
                <w:szCs w:val="22"/>
                <w:lang w:bidi="ar"/>
              </w:rPr>
              <w:t>《规范》第七条</w:t>
            </w:r>
          </w:p>
        </w:tc>
      </w:tr>
      <w:tr w14:paraId="497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04D197AC">
            <w:pPr>
              <w:jc w:val="center"/>
              <w:rPr>
                <w:rFonts w:eastAsia="仿宋_GB2312"/>
                <w:color w:val="000000"/>
                <w:sz w:val="22"/>
                <w:szCs w:val="22"/>
              </w:rPr>
            </w:pPr>
          </w:p>
        </w:tc>
        <w:tc>
          <w:tcPr>
            <w:tcW w:w="326" w:type="pct"/>
            <w:noWrap w:val="0"/>
            <w:vAlign w:val="center"/>
          </w:tcPr>
          <w:p w14:paraId="60373A9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w:t>
            </w:r>
          </w:p>
        </w:tc>
        <w:tc>
          <w:tcPr>
            <w:tcW w:w="523" w:type="pct"/>
            <w:noWrap w:val="0"/>
            <w:vAlign w:val="center"/>
          </w:tcPr>
          <w:p w14:paraId="62AC8BD7">
            <w:pPr>
              <w:widowControl/>
              <w:jc w:val="center"/>
              <w:textAlignment w:val="center"/>
              <w:rPr>
                <w:rFonts w:eastAsia="仿宋_GB2312"/>
                <w:color w:val="000000"/>
                <w:sz w:val="22"/>
                <w:szCs w:val="22"/>
              </w:rPr>
            </w:pPr>
            <w:r>
              <w:rPr>
                <w:rFonts w:eastAsia="仿宋_GB2312"/>
                <w:color w:val="000000"/>
                <w:kern w:val="0"/>
                <w:sz w:val="22"/>
                <w:szCs w:val="22"/>
                <w:lang w:bidi="ar"/>
              </w:rPr>
              <w:t>2.2.1</w:t>
            </w:r>
          </w:p>
        </w:tc>
        <w:tc>
          <w:tcPr>
            <w:tcW w:w="2496" w:type="pct"/>
            <w:noWrap w:val="0"/>
            <w:vAlign w:val="center"/>
          </w:tcPr>
          <w:p w14:paraId="71F13E82">
            <w:pPr>
              <w:widowControl/>
              <w:spacing w:line="260" w:lineRule="exact"/>
              <w:jc w:val="left"/>
              <w:textAlignment w:val="center"/>
              <w:rPr>
                <w:rFonts w:eastAsia="仿宋_GB2312"/>
                <w:color w:val="000000"/>
                <w:sz w:val="22"/>
                <w:szCs w:val="22"/>
              </w:rPr>
            </w:pPr>
            <w:r>
              <w:rPr>
                <w:rFonts w:eastAsia="仿宋_GB2312"/>
                <w:color w:val="000000"/>
                <w:kern w:val="0"/>
                <w:sz w:val="22"/>
                <w:szCs w:val="22"/>
                <w:lang w:bidi="ar"/>
              </w:rPr>
              <w:t>企业应当为实现质量目标配备足够并符合要求的人员、厂房设施和设备等资源。</w:t>
            </w:r>
          </w:p>
        </w:tc>
        <w:tc>
          <w:tcPr>
            <w:tcW w:w="407" w:type="pct"/>
            <w:noWrap w:val="0"/>
            <w:vAlign w:val="center"/>
          </w:tcPr>
          <w:p w14:paraId="2B5B0788">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9FF3310">
            <w:pPr>
              <w:widowControl/>
              <w:jc w:val="center"/>
              <w:textAlignment w:val="center"/>
              <w:rPr>
                <w:rFonts w:eastAsia="仿宋_GB2312"/>
                <w:color w:val="000000"/>
                <w:sz w:val="22"/>
                <w:szCs w:val="22"/>
              </w:rPr>
            </w:pPr>
            <w:r>
              <w:rPr>
                <w:rFonts w:eastAsia="仿宋_GB2312"/>
                <w:color w:val="000000"/>
                <w:kern w:val="0"/>
                <w:sz w:val="22"/>
                <w:szCs w:val="22"/>
                <w:lang w:bidi="ar"/>
              </w:rPr>
              <w:t>《规范》第八条</w:t>
            </w:r>
          </w:p>
        </w:tc>
      </w:tr>
      <w:tr w14:paraId="260E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5FB75D5">
            <w:pPr>
              <w:jc w:val="center"/>
              <w:rPr>
                <w:rFonts w:eastAsia="仿宋_GB2312"/>
                <w:color w:val="000000"/>
                <w:sz w:val="22"/>
                <w:szCs w:val="22"/>
              </w:rPr>
            </w:pPr>
          </w:p>
        </w:tc>
        <w:tc>
          <w:tcPr>
            <w:tcW w:w="326" w:type="pct"/>
            <w:noWrap w:val="0"/>
            <w:vAlign w:val="center"/>
          </w:tcPr>
          <w:p w14:paraId="043947B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w:t>
            </w:r>
          </w:p>
        </w:tc>
        <w:tc>
          <w:tcPr>
            <w:tcW w:w="523" w:type="pct"/>
            <w:noWrap w:val="0"/>
            <w:vAlign w:val="center"/>
          </w:tcPr>
          <w:p w14:paraId="772C1F7A">
            <w:pPr>
              <w:widowControl/>
              <w:jc w:val="center"/>
              <w:textAlignment w:val="center"/>
              <w:rPr>
                <w:rFonts w:eastAsia="仿宋_GB2312"/>
                <w:color w:val="000000"/>
                <w:sz w:val="22"/>
                <w:szCs w:val="22"/>
              </w:rPr>
            </w:pPr>
            <w:r>
              <w:rPr>
                <w:rFonts w:eastAsia="仿宋_GB2312"/>
                <w:color w:val="000000"/>
                <w:kern w:val="0"/>
                <w:sz w:val="22"/>
                <w:szCs w:val="22"/>
                <w:lang w:bidi="ar"/>
              </w:rPr>
              <w:t>2.2.2</w:t>
            </w:r>
          </w:p>
        </w:tc>
        <w:tc>
          <w:tcPr>
            <w:tcW w:w="2496" w:type="pct"/>
            <w:noWrap w:val="0"/>
            <w:vAlign w:val="center"/>
          </w:tcPr>
          <w:p w14:paraId="6EAB5F65">
            <w:pPr>
              <w:widowControl/>
              <w:spacing w:line="260" w:lineRule="exact"/>
              <w:jc w:val="left"/>
              <w:textAlignment w:val="center"/>
              <w:rPr>
                <w:rFonts w:eastAsia="仿宋_GB2312"/>
                <w:color w:val="000000"/>
                <w:sz w:val="22"/>
                <w:szCs w:val="22"/>
              </w:rPr>
            </w:pPr>
            <w:r>
              <w:rPr>
                <w:rFonts w:eastAsia="仿宋_GB2312"/>
                <w:color w:val="000000"/>
                <w:kern w:val="0"/>
                <w:sz w:val="22"/>
                <w:szCs w:val="22"/>
                <w:lang w:bidi="ar"/>
              </w:rPr>
              <w:t>企业各级人员应当共同参与实现质量目标的各项活动并承担相应责任。</w:t>
            </w:r>
          </w:p>
        </w:tc>
        <w:tc>
          <w:tcPr>
            <w:tcW w:w="407" w:type="pct"/>
            <w:noWrap w:val="0"/>
            <w:vAlign w:val="center"/>
          </w:tcPr>
          <w:p w14:paraId="76E32CA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C03390C">
            <w:pPr>
              <w:widowControl/>
              <w:jc w:val="center"/>
              <w:textAlignment w:val="center"/>
              <w:rPr>
                <w:rFonts w:eastAsia="仿宋_GB2312"/>
                <w:color w:val="000000"/>
                <w:sz w:val="22"/>
                <w:szCs w:val="22"/>
              </w:rPr>
            </w:pPr>
            <w:r>
              <w:rPr>
                <w:rFonts w:eastAsia="仿宋_GB2312"/>
                <w:color w:val="000000"/>
                <w:kern w:val="0"/>
                <w:sz w:val="22"/>
                <w:szCs w:val="22"/>
                <w:lang w:bidi="ar"/>
              </w:rPr>
              <w:t>《规范》第八条</w:t>
            </w:r>
          </w:p>
        </w:tc>
      </w:tr>
      <w:tr w14:paraId="718E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0" w:hRule="atLeast"/>
          <w:jc w:val="center"/>
        </w:trPr>
        <w:tc>
          <w:tcPr>
            <w:tcW w:w="589" w:type="pct"/>
            <w:vMerge w:val="continue"/>
            <w:noWrap w:val="0"/>
            <w:vAlign w:val="center"/>
          </w:tcPr>
          <w:p w14:paraId="6A7F3505">
            <w:pPr>
              <w:jc w:val="center"/>
              <w:rPr>
                <w:rFonts w:eastAsia="仿宋_GB2312"/>
                <w:color w:val="000000"/>
                <w:sz w:val="22"/>
                <w:szCs w:val="22"/>
              </w:rPr>
            </w:pPr>
          </w:p>
        </w:tc>
        <w:tc>
          <w:tcPr>
            <w:tcW w:w="326" w:type="pct"/>
            <w:noWrap w:val="0"/>
            <w:vAlign w:val="center"/>
          </w:tcPr>
          <w:p w14:paraId="3ED35FF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w:t>
            </w:r>
          </w:p>
        </w:tc>
        <w:tc>
          <w:tcPr>
            <w:tcW w:w="523" w:type="pct"/>
            <w:noWrap w:val="0"/>
            <w:vAlign w:val="center"/>
          </w:tcPr>
          <w:p w14:paraId="477E8153">
            <w:pPr>
              <w:widowControl/>
              <w:jc w:val="center"/>
              <w:textAlignment w:val="center"/>
              <w:rPr>
                <w:rFonts w:eastAsia="仿宋_GB2312"/>
                <w:color w:val="000000"/>
                <w:sz w:val="22"/>
                <w:szCs w:val="22"/>
              </w:rPr>
            </w:pPr>
            <w:r>
              <w:rPr>
                <w:rFonts w:eastAsia="仿宋_GB2312"/>
                <w:color w:val="000000"/>
                <w:kern w:val="0"/>
                <w:sz w:val="22"/>
                <w:szCs w:val="22"/>
                <w:lang w:bidi="ar"/>
              </w:rPr>
              <w:t>2.3.1</w:t>
            </w:r>
          </w:p>
        </w:tc>
        <w:tc>
          <w:tcPr>
            <w:tcW w:w="2496" w:type="pct"/>
            <w:noWrap w:val="0"/>
            <w:vAlign w:val="center"/>
          </w:tcPr>
          <w:p w14:paraId="0D3C2D14">
            <w:pPr>
              <w:widowControl/>
              <w:spacing w:line="260" w:lineRule="exact"/>
              <w:jc w:val="left"/>
              <w:textAlignment w:val="center"/>
              <w:rPr>
                <w:rFonts w:eastAsia="仿宋_GB2312"/>
                <w:color w:val="000000"/>
                <w:sz w:val="22"/>
                <w:szCs w:val="22"/>
              </w:rPr>
            </w:pPr>
            <w:r>
              <w:rPr>
                <w:rFonts w:eastAsia="仿宋_GB2312"/>
                <w:color w:val="000000"/>
                <w:kern w:val="0"/>
                <w:sz w:val="22"/>
                <w:szCs w:val="22"/>
                <w:lang w:bidi="ar"/>
              </w:rPr>
              <w:t>企业应当建立质量保证系统并有完整的质量管理体系文件，保证质量管理体系有效运行。</w:t>
            </w:r>
            <w:r>
              <w:rPr>
                <w:rFonts w:eastAsia="仿宋_GB2312"/>
                <w:color w:val="000000"/>
                <w:kern w:val="0"/>
                <w:sz w:val="22"/>
                <w:szCs w:val="22"/>
                <w:lang w:bidi="ar"/>
              </w:rPr>
              <w:br w:type="textWrapping"/>
            </w:r>
            <w:r>
              <w:rPr>
                <w:rFonts w:eastAsia="仿宋_GB2312"/>
                <w:color w:val="000000"/>
                <w:kern w:val="0"/>
                <w:sz w:val="22"/>
                <w:szCs w:val="22"/>
                <w:lang w:bidi="ar"/>
              </w:rPr>
              <w:t>质量保证系统应当确保：</w:t>
            </w:r>
            <w:r>
              <w:rPr>
                <w:rFonts w:eastAsia="仿宋_GB2312"/>
                <w:color w:val="000000"/>
                <w:kern w:val="0"/>
                <w:sz w:val="22"/>
                <w:szCs w:val="22"/>
                <w:lang w:bidi="ar"/>
              </w:rPr>
              <w:br w:type="textWrapping"/>
            </w:r>
            <w:r>
              <w:rPr>
                <w:rFonts w:eastAsia="仿宋_GB2312"/>
                <w:color w:val="000000"/>
                <w:kern w:val="0"/>
                <w:sz w:val="22"/>
                <w:szCs w:val="22"/>
                <w:lang w:bidi="ar"/>
              </w:rPr>
              <w:t>（一）医疗器械的设计开发、生产管理和质量控制活动符合本规范；</w:t>
            </w:r>
            <w:r>
              <w:rPr>
                <w:rFonts w:eastAsia="仿宋_GB2312"/>
                <w:color w:val="000000"/>
                <w:kern w:val="0"/>
                <w:sz w:val="22"/>
                <w:szCs w:val="22"/>
                <w:lang w:bidi="ar"/>
              </w:rPr>
              <w:br w:type="textWrapping"/>
            </w:r>
            <w:r>
              <w:rPr>
                <w:rFonts w:eastAsia="仿宋_GB2312"/>
                <w:color w:val="000000"/>
                <w:kern w:val="0"/>
                <w:sz w:val="22"/>
                <w:szCs w:val="22"/>
                <w:lang w:bidi="ar"/>
              </w:rPr>
              <w:t>（二）管理职责明确；</w:t>
            </w:r>
            <w:r>
              <w:rPr>
                <w:rFonts w:eastAsia="仿宋_GB2312"/>
                <w:color w:val="000000"/>
                <w:kern w:val="0"/>
                <w:sz w:val="22"/>
                <w:szCs w:val="22"/>
                <w:lang w:bidi="ar"/>
              </w:rPr>
              <w:br w:type="textWrapping"/>
            </w:r>
            <w:r>
              <w:rPr>
                <w:rFonts w:eastAsia="仿宋_GB2312"/>
                <w:color w:val="000000"/>
                <w:kern w:val="0"/>
                <w:sz w:val="22"/>
                <w:szCs w:val="22"/>
                <w:lang w:bidi="ar"/>
              </w:rPr>
              <w:t>（三）采购和使用的原材料正确无误；</w:t>
            </w:r>
            <w:r>
              <w:rPr>
                <w:rFonts w:eastAsia="仿宋_GB2312"/>
                <w:color w:val="000000"/>
                <w:kern w:val="0"/>
                <w:sz w:val="22"/>
                <w:szCs w:val="22"/>
                <w:lang w:bidi="ar"/>
              </w:rPr>
              <w:br w:type="textWrapping"/>
            </w:r>
            <w:r>
              <w:rPr>
                <w:rFonts w:eastAsia="仿宋_GB2312"/>
                <w:color w:val="000000"/>
                <w:kern w:val="0"/>
                <w:sz w:val="22"/>
                <w:szCs w:val="22"/>
                <w:lang w:bidi="ar"/>
              </w:rPr>
              <w:t>（四）中间产品得到有效控制；</w:t>
            </w:r>
            <w:r>
              <w:rPr>
                <w:rFonts w:eastAsia="仿宋_GB2312"/>
                <w:color w:val="000000"/>
                <w:kern w:val="0"/>
                <w:sz w:val="22"/>
                <w:szCs w:val="22"/>
                <w:lang w:bidi="ar"/>
              </w:rPr>
              <w:br w:type="textWrapping"/>
            </w:r>
            <w:r>
              <w:rPr>
                <w:rFonts w:eastAsia="仿宋_GB2312"/>
                <w:color w:val="000000"/>
                <w:kern w:val="0"/>
                <w:sz w:val="22"/>
                <w:szCs w:val="22"/>
                <w:lang w:bidi="ar"/>
              </w:rPr>
              <w:t>（五）验证、确认活动符合要求；</w:t>
            </w:r>
            <w:r>
              <w:rPr>
                <w:rFonts w:eastAsia="仿宋_GB2312"/>
                <w:color w:val="000000"/>
                <w:kern w:val="0"/>
                <w:sz w:val="22"/>
                <w:szCs w:val="22"/>
                <w:lang w:bidi="ar"/>
              </w:rPr>
              <w:br w:type="textWrapping"/>
            </w:r>
            <w:r>
              <w:rPr>
                <w:rFonts w:eastAsia="仿宋_GB2312"/>
                <w:color w:val="000000"/>
                <w:kern w:val="0"/>
                <w:sz w:val="22"/>
                <w:szCs w:val="22"/>
                <w:lang w:bidi="ar"/>
              </w:rPr>
              <w:t>（六）严格按照规程进行生产和检验；</w:t>
            </w:r>
            <w:r>
              <w:rPr>
                <w:rFonts w:eastAsia="仿宋_GB2312"/>
                <w:color w:val="000000"/>
                <w:kern w:val="0"/>
                <w:sz w:val="22"/>
                <w:szCs w:val="22"/>
                <w:lang w:bidi="ar"/>
              </w:rPr>
              <w:br w:type="textWrapping"/>
            </w:r>
            <w:r>
              <w:rPr>
                <w:rFonts w:eastAsia="仿宋_GB2312"/>
                <w:color w:val="000000"/>
                <w:kern w:val="0"/>
                <w:sz w:val="22"/>
                <w:szCs w:val="22"/>
                <w:lang w:bidi="ar"/>
              </w:rPr>
              <w:t>（七）每批产品经审核批准后放行；</w:t>
            </w:r>
            <w:r>
              <w:rPr>
                <w:rFonts w:eastAsia="仿宋_GB2312"/>
                <w:color w:val="000000"/>
                <w:kern w:val="0"/>
                <w:sz w:val="22"/>
                <w:szCs w:val="22"/>
                <w:lang w:bidi="ar"/>
              </w:rPr>
              <w:br w:type="textWrapping"/>
            </w:r>
            <w:r>
              <w:rPr>
                <w:rFonts w:eastAsia="仿宋_GB2312"/>
                <w:color w:val="000000"/>
                <w:kern w:val="0"/>
                <w:sz w:val="22"/>
                <w:szCs w:val="22"/>
                <w:lang w:bidi="ar"/>
              </w:rPr>
              <w:t>（八）贮存、运输以及安装等环节有保证产品质量的措施；</w:t>
            </w:r>
            <w:r>
              <w:rPr>
                <w:rFonts w:eastAsia="仿宋_GB2312"/>
                <w:color w:val="000000"/>
                <w:kern w:val="0"/>
                <w:sz w:val="22"/>
                <w:szCs w:val="22"/>
                <w:lang w:bidi="ar"/>
              </w:rPr>
              <w:br w:type="textWrapping"/>
            </w:r>
            <w:r>
              <w:rPr>
                <w:rFonts w:eastAsia="仿宋_GB2312"/>
                <w:color w:val="000000"/>
                <w:kern w:val="0"/>
                <w:sz w:val="22"/>
                <w:szCs w:val="22"/>
                <w:lang w:bidi="ar"/>
              </w:rPr>
              <w:t>（九）委托研发、委托生产、外协加工和委托检验等活动处于受控状态。</w:t>
            </w:r>
          </w:p>
        </w:tc>
        <w:tc>
          <w:tcPr>
            <w:tcW w:w="407" w:type="pct"/>
            <w:noWrap w:val="0"/>
            <w:vAlign w:val="center"/>
          </w:tcPr>
          <w:p w14:paraId="6E55015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D3B3608">
            <w:pPr>
              <w:widowControl/>
              <w:jc w:val="center"/>
              <w:textAlignment w:val="center"/>
              <w:rPr>
                <w:rFonts w:eastAsia="仿宋_GB2312"/>
                <w:color w:val="000000"/>
                <w:sz w:val="22"/>
                <w:szCs w:val="22"/>
              </w:rPr>
            </w:pPr>
            <w:r>
              <w:rPr>
                <w:rFonts w:eastAsia="仿宋_GB2312"/>
                <w:color w:val="000000"/>
                <w:kern w:val="0"/>
                <w:sz w:val="22"/>
                <w:szCs w:val="22"/>
                <w:lang w:bidi="ar"/>
              </w:rPr>
              <w:t>《规范》第九条</w:t>
            </w:r>
          </w:p>
        </w:tc>
      </w:tr>
      <w:tr w14:paraId="4E7A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589" w:type="pct"/>
            <w:vMerge w:val="continue"/>
            <w:noWrap w:val="0"/>
            <w:vAlign w:val="center"/>
          </w:tcPr>
          <w:p w14:paraId="517539DF">
            <w:pPr>
              <w:jc w:val="center"/>
              <w:rPr>
                <w:rFonts w:eastAsia="仿宋_GB2312"/>
                <w:color w:val="000000"/>
                <w:sz w:val="22"/>
                <w:szCs w:val="22"/>
              </w:rPr>
            </w:pPr>
          </w:p>
        </w:tc>
        <w:tc>
          <w:tcPr>
            <w:tcW w:w="326" w:type="pct"/>
            <w:noWrap w:val="0"/>
            <w:vAlign w:val="center"/>
          </w:tcPr>
          <w:p w14:paraId="314740C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w:t>
            </w:r>
          </w:p>
        </w:tc>
        <w:tc>
          <w:tcPr>
            <w:tcW w:w="523" w:type="pct"/>
            <w:noWrap w:val="0"/>
            <w:vAlign w:val="center"/>
          </w:tcPr>
          <w:p w14:paraId="273BD093">
            <w:pPr>
              <w:widowControl/>
              <w:jc w:val="center"/>
              <w:textAlignment w:val="center"/>
              <w:rPr>
                <w:rFonts w:eastAsia="仿宋_GB2312"/>
                <w:color w:val="000000"/>
                <w:sz w:val="22"/>
                <w:szCs w:val="22"/>
              </w:rPr>
            </w:pPr>
            <w:r>
              <w:rPr>
                <w:rFonts w:eastAsia="仿宋_GB2312"/>
                <w:color w:val="000000"/>
                <w:kern w:val="0"/>
                <w:sz w:val="22"/>
                <w:szCs w:val="22"/>
                <w:lang w:bidi="ar"/>
              </w:rPr>
              <w:t>2.4.1</w:t>
            </w:r>
          </w:p>
        </w:tc>
        <w:tc>
          <w:tcPr>
            <w:tcW w:w="2496" w:type="pct"/>
            <w:noWrap w:val="0"/>
            <w:vAlign w:val="center"/>
          </w:tcPr>
          <w:p w14:paraId="2463E885">
            <w:pPr>
              <w:widowControl/>
              <w:spacing w:line="260" w:lineRule="exact"/>
              <w:jc w:val="left"/>
              <w:textAlignment w:val="center"/>
              <w:rPr>
                <w:rFonts w:eastAsia="仿宋_GB2312"/>
                <w:color w:val="000000"/>
                <w:sz w:val="22"/>
                <w:szCs w:val="22"/>
              </w:rPr>
            </w:pPr>
            <w:r>
              <w:rPr>
                <w:rFonts w:eastAsia="仿宋_GB2312"/>
                <w:color w:val="000000"/>
                <w:kern w:val="0"/>
                <w:sz w:val="22"/>
                <w:szCs w:val="22"/>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407" w:type="pct"/>
            <w:noWrap w:val="0"/>
            <w:vAlign w:val="center"/>
          </w:tcPr>
          <w:p w14:paraId="3E69558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2C79368">
            <w:pPr>
              <w:widowControl/>
              <w:jc w:val="center"/>
              <w:textAlignment w:val="center"/>
              <w:rPr>
                <w:rFonts w:eastAsia="仿宋_GB2312"/>
                <w:color w:val="000000"/>
                <w:sz w:val="22"/>
                <w:szCs w:val="22"/>
              </w:rPr>
            </w:pPr>
            <w:r>
              <w:rPr>
                <w:rFonts w:eastAsia="仿宋_GB2312"/>
                <w:color w:val="000000"/>
                <w:kern w:val="0"/>
                <w:sz w:val="22"/>
                <w:szCs w:val="22"/>
                <w:lang w:bidi="ar"/>
              </w:rPr>
              <w:t>《规范》第十条</w:t>
            </w:r>
          </w:p>
        </w:tc>
      </w:tr>
      <w:tr w14:paraId="1AB2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472CE2E9">
            <w:pPr>
              <w:jc w:val="center"/>
              <w:rPr>
                <w:rFonts w:eastAsia="仿宋_GB2312"/>
                <w:color w:val="000000"/>
                <w:sz w:val="22"/>
                <w:szCs w:val="22"/>
              </w:rPr>
            </w:pPr>
          </w:p>
        </w:tc>
        <w:tc>
          <w:tcPr>
            <w:tcW w:w="326" w:type="pct"/>
            <w:noWrap w:val="0"/>
            <w:vAlign w:val="center"/>
          </w:tcPr>
          <w:p w14:paraId="75896BA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w:t>
            </w:r>
          </w:p>
        </w:tc>
        <w:tc>
          <w:tcPr>
            <w:tcW w:w="523" w:type="pct"/>
            <w:noWrap w:val="0"/>
            <w:vAlign w:val="center"/>
          </w:tcPr>
          <w:p w14:paraId="189B49EF">
            <w:pPr>
              <w:widowControl/>
              <w:jc w:val="center"/>
              <w:textAlignment w:val="center"/>
              <w:rPr>
                <w:rFonts w:eastAsia="仿宋_GB2312"/>
                <w:color w:val="000000"/>
                <w:sz w:val="22"/>
                <w:szCs w:val="22"/>
              </w:rPr>
            </w:pPr>
            <w:r>
              <w:rPr>
                <w:rFonts w:eastAsia="仿宋_GB2312"/>
                <w:color w:val="000000"/>
                <w:kern w:val="0"/>
                <w:sz w:val="22"/>
                <w:szCs w:val="22"/>
                <w:lang w:bidi="ar"/>
              </w:rPr>
              <w:t>2.5.1</w:t>
            </w:r>
          </w:p>
        </w:tc>
        <w:tc>
          <w:tcPr>
            <w:tcW w:w="2496" w:type="pct"/>
            <w:noWrap w:val="0"/>
            <w:vAlign w:val="center"/>
          </w:tcPr>
          <w:p w14:paraId="6B114B8D">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企业应当通过质量数据监控、变更管理、不良事件监测、质量风险管理回顾、纠正预防措施、内部审核以及管理评审等方式，实现质量管理体系、工艺和产品质量的持续改进。</w:t>
            </w:r>
          </w:p>
        </w:tc>
        <w:tc>
          <w:tcPr>
            <w:tcW w:w="407" w:type="pct"/>
            <w:noWrap w:val="0"/>
            <w:vAlign w:val="center"/>
          </w:tcPr>
          <w:p w14:paraId="3064F2A0">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76506D2">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《规范》第十一条</w:t>
            </w:r>
          </w:p>
        </w:tc>
      </w:tr>
      <w:tr w14:paraId="3404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5081ADF6">
            <w:pPr>
              <w:jc w:val="center"/>
              <w:rPr>
                <w:rFonts w:eastAsia="仿宋_GB2312"/>
                <w:color w:val="000000"/>
                <w:sz w:val="22"/>
                <w:szCs w:val="22"/>
              </w:rPr>
            </w:pPr>
          </w:p>
        </w:tc>
        <w:tc>
          <w:tcPr>
            <w:tcW w:w="326" w:type="pct"/>
            <w:noWrap w:val="0"/>
            <w:vAlign w:val="center"/>
          </w:tcPr>
          <w:p w14:paraId="30DE2BF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w:t>
            </w:r>
          </w:p>
        </w:tc>
        <w:tc>
          <w:tcPr>
            <w:tcW w:w="523" w:type="pct"/>
            <w:noWrap w:val="0"/>
            <w:vAlign w:val="center"/>
          </w:tcPr>
          <w:p w14:paraId="17907DC2">
            <w:pPr>
              <w:widowControl/>
              <w:jc w:val="center"/>
              <w:textAlignment w:val="center"/>
              <w:rPr>
                <w:rFonts w:eastAsia="仿宋_GB2312"/>
                <w:color w:val="000000"/>
                <w:sz w:val="22"/>
                <w:szCs w:val="22"/>
              </w:rPr>
            </w:pPr>
            <w:r>
              <w:rPr>
                <w:rFonts w:eastAsia="仿宋_GB2312"/>
                <w:color w:val="000000"/>
                <w:kern w:val="0"/>
                <w:sz w:val="22"/>
                <w:szCs w:val="22"/>
                <w:lang w:bidi="ar"/>
              </w:rPr>
              <w:t>2.6.1</w:t>
            </w:r>
          </w:p>
        </w:tc>
        <w:tc>
          <w:tcPr>
            <w:tcW w:w="2496" w:type="pct"/>
            <w:noWrap w:val="0"/>
            <w:vAlign w:val="center"/>
          </w:tcPr>
          <w:p w14:paraId="778B7735">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企业应当建立质量风险管理制度，基于法律、法规、规章、标准、科学知识和经验等，评估产品实现全过程的质量风险，验证和实施质量风险控制措施，确保产品质量风险得到有效控制。</w:t>
            </w:r>
          </w:p>
        </w:tc>
        <w:tc>
          <w:tcPr>
            <w:tcW w:w="407" w:type="pct"/>
            <w:noWrap w:val="0"/>
            <w:vAlign w:val="center"/>
          </w:tcPr>
          <w:p w14:paraId="2DD81F28">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FD97B26">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《规范》第十二条</w:t>
            </w:r>
          </w:p>
        </w:tc>
      </w:tr>
      <w:tr w14:paraId="0BDC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2009432B">
            <w:pPr>
              <w:jc w:val="center"/>
              <w:rPr>
                <w:rFonts w:eastAsia="仿宋_GB2312"/>
                <w:color w:val="000000"/>
                <w:sz w:val="22"/>
                <w:szCs w:val="22"/>
              </w:rPr>
            </w:pPr>
          </w:p>
        </w:tc>
        <w:tc>
          <w:tcPr>
            <w:tcW w:w="326" w:type="pct"/>
            <w:noWrap w:val="0"/>
            <w:vAlign w:val="center"/>
          </w:tcPr>
          <w:p w14:paraId="0BE84BF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w:t>
            </w:r>
          </w:p>
        </w:tc>
        <w:tc>
          <w:tcPr>
            <w:tcW w:w="523" w:type="pct"/>
            <w:noWrap w:val="0"/>
            <w:vAlign w:val="center"/>
          </w:tcPr>
          <w:p w14:paraId="1CABD049">
            <w:pPr>
              <w:widowControl/>
              <w:jc w:val="center"/>
              <w:textAlignment w:val="center"/>
              <w:rPr>
                <w:rFonts w:eastAsia="仿宋_GB2312"/>
                <w:color w:val="000000"/>
                <w:sz w:val="22"/>
                <w:szCs w:val="22"/>
              </w:rPr>
            </w:pPr>
            <w:r>
              <w:rPr>
                <w:rFonts w:eastAsia="仿宋_GB2312"/>
                <w:color w:val="000000"/>
                <w:kern w:val="0"/>
                <w:sz w:val="22"/>
                <w:szCs w:val="22"/>
                <w:lang w:bidi="ar"/>
              </w:rPr>
              <w:t>2.7.1</w:t>
            </w:r>
          </w:p>
        </w:tc>
        <w:tc>
          <w:tcPr>
            <w:tcW w:w="2496" w:type="pct"/>
            <w:noWrap w:val="0"/>
            <w:vAlign w:val="center"/>
          </w:tcPr>
          <w:p w14:paraId="20450A61">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企业应当收集产品全生命周期质量风险信息，定期实施质量风险管理回顾，确保质量风险管理措施持续有效。</w:t>
            </w:r>
          </w:p>
        </w:tc>
        <w:tc>
          <w:tcPr>
            <w:tcW w:w="407" w:type="pct"/>
            <w:noWrap w:val="0"/>
            <w:vAlign w:val="center"/>
          </w:tcPr>
          <w:p w14:paraId="0DAAFF26">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EDE4182">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《规范》第十三条</w:t>
            </w:r>
          </w:p>
        </w:tc>
      </w:tr>
      <w:tr w14:paraId="2248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restart"/>
            <w:noWrap w:val="0"/>
            <w:vAlign w:val="center"/>
          </w:tcPr>
          <w:p w14:paraId="73134348">
            <w:pPr>
              <w:widowControl/>
              <w:jc w:val="center"/>
              <w:textAlignment w:val="center"/>
              <w:rPr>
                <w:rFonts w:eastAsia="仿宋_GB2312"/>
                <w:color w:val="000000"/>
                <w:sz w:val="22"/>
                <w:szCs w:val="22"/>
              </w:rPr>
            </w:pPr>
            <w:r>
              <w:rPr>
                <w:rFonts w:eastAsia="仿宋_GB2312"/>
                <w:color w:val="000000"/>
                <w:kern w:val="0"/>
                <w:sz w:val="22"/>
                <w:szCs w:val="22"/>
                <w:lang w:bidi="ar"/>
              </w:rPr>
              <w:t>第三章 机构与人员</w:t>
            </w:r>
          </w:p>
        </w:tc>
        <w:tc>
          <w:tcPr>
            <w:tcW w:w="326" w:type="pct"/>
            <w:noWrap w:val="0"/>
            <w:vAlign w:val="center"/>
          </w:tcPr>
          <w:p w14:paraId="37285D3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w:t>
            </w:r>
          </w:p>
        </w:tc>
        <w:tc>
          <w:tcPr>
            <w:tcW w:w="523" w:type="pct"/>
            <w:noWrap w:val="0"/>
            <w:vAlign w:val="center"/>
          </w:tcPr>
          <w:p w14:paraId="75B1F088">
            <w:pPr>
              <w:widowControl/>
              <w:jc w:val="center"/>
              <w:textAlignment w:val="center"/>
              <w:rPr>
                <w:rFonts w:eastAsia="仿宋_GB2312"/>
                <w:color w:val="000000"/>
                <w:sz w:val="22"/>
                <w:szCs w:val="22"/>
              </w:rPr>
            </w:pPr>
            <w:r>
              <w:rPr>
                <w:rFonts w:eastAsia="仿宋_GB2312"/>
                <w:color w:val="000000"/>
                <w:kern w:val="0"/>
                <w:sz w:val="22"/>
                <w:szCs w:val="22"/>
                <w:lang w:bidi="ar"/>
              </w:rPr>
              <w:t>3.1.1</w:t>
            </w:r>
          </w:p>
        </w:tc>
        <w:tc>
          <w:tcPr>
            <w:tcW w:w="2496" w:type="pct"/>
            <w:noWrap w:val="0"/>
            <w:vAlign w:val="center"/>
          </w:tcPr>
          <w:p w14:paraId="041C0451">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企业应当建立与医疗器械生产相适应的组织机构，明确各部门的职责和权限，明确质量管理职能。</w:t>
            </w:r>
          </w:p>
        </w:tc>
        <w:tc>
          <w:tcPr>
            <w:tcW w:w="407" w:type="pct"/>
            <w:noWrap w:val="0"/>
            <w:vAlign w:val="center"/>
          </w:tcPr>
          <w:p w14:paraId="102D73B9">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E24EE32">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《规范》第十四条</w:t>
            </w:r>
          </w:p>
        </w:tc>
      </w:tr>
      <w:tr w14:paraId="41E6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24D96F3C">
            <w:pPr>
              <w:jc w:val="center"/>
              <w:rPr>
                <w:rFonts w:eastAsia="仿宋_GB2312"/>
                <w:color w:val="000000"/>
                <w:sz w:val="22"/>
                <w:szCs w:val="22"/>
              </w:rPr>
            </w:pPr>
          </w:p>
        </w:tc>
        <w:tc>
          <w:tcPr>
            <w:tcW w:w="326" w:type="pct"/>
            <w:noWrap w:val="0"/>
            <w:vAlign w:val="center"/>
          </w:tcPr>
          <w:p w14:paraId="4506366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w:t>
            </w:r>
          </w:p>
        </w:tc>
        <w:tc>
          <w:tcPr>
            <w:tcW w:w="523" w:type="pct"/>
            <w:noWrap w:val="0"/>
            <w:vAlign w:val="center"/>
          </w:tcPr>
          <w:p w14:paraId="4482D3C0">
            <w:pPr>
              <w:widowControl/>
              <w:jc w:val="center"/>
              <w:textAlignment w:val="center"/>
              <w:rPr>
                <w:rFonts w:eastAsia="仿宋_GB2312"/>
                <w:color w:val="000000"/>
                <w:sz w:val="22"/>
                <w:szCs w:val="22"/>
              </w:rPr>
            </w:pPr>
            <w:r>
              <w:rPr>
                <w:rFonts w:eastAsia="仿宋_GB2312"/>
                <w:color w:val="000000"/>
                <w:kern w:val="0"/>
                <w:sz w:val="22"/>
                <w:szCs w:val="22"/>
                <w:lang w:bidi="ar"/>
              </w:rPr>
              <w:t>3.1.2</w:t>
            </w:r>
          </w:p>
        </w:tc>
        <w:tc>
          <w:tcPr>
            <w:tcW w:w="2496" w:type="pct"/>
            <w:noWrap w:val="0"/>
            <w:vAlign w:val="center"/>
          </w:tcPr>
          <w:p w14:paraId="2F83311D">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生产管理部门和质量管理部门负责人不得互相兼任。</w:t>
            </w:r>
          </w:p>
        </w:tc>
        <w:tc>
          <w:tcPr>
            <w:tcW w:w="407" w:type="pct"/>
            <w:noWrap w:val="0"/>
            <w:vAlign w:val="center"/>
          </w:tcPr>
          <w:p w14:paraId="4A9DDB71">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42D19AE">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《规范》第十四条</w:t>
            </w:r>
          </w:p>
        </w:tc>
      </w:tr>
      <w:tr w14:paraId="25B5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770DE94B">
            <w:pPr>
              <w:jc w:val="center"/>
              <w:rPr>
                <w:rFonts w:eastAsia="仿宋_GB2312"/>
                <w:color w:val="000000"/>
                <w:sz w:val="22"/>
                <w:szCs w:val="22"/>
              </w:rPr>
            </w:pPr>
          </w:p>
        </w:tc>
        <w:tc>
          <w:tcPr>
            <w:tcW w:w="326" w:type="pct"/>
            <w:noWrap w:val="0"/>
            <w:vAlign w:val="center"/>
          </w:tcPr>
          <w:p w14:paraId="31BF27A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w:t>
            </w:r>
          </w:p>
        </w:tc>
        <w:tc>
          <w:tcPr>
            <w:tcW w:w="523" w:type="pct"/>
            <w:noWrap w:val="0"/>
            <w:vAlign w:val="center"/>
          </w:tcPr>
          <w:p w14:paraId="2D91742A">
            <w:pPr>
              <w:widowControl/>
              <w:jc w:val="center"/>
              <w:textAlignment w:val="center"/>
              <w:rPr>
                <w:rFonts w:eastAsia="仿宋_GB2312"/>
                <w:color w:val="000000"/>
                <w:sz w:val="22"/>
                <w:szCs w:val="22"/>
              </w:rPr>
            </w:pPr>
            <w:r>
              <w:rPr>
                <w:rFonts w:eastAsia="仿宋_GB2312"/>
                <w:color w:val="000000"/>
                <w:kern w:val="0"/>
                <w:sz w:val="22"/>
                <w:szCs w:val="22"/>
                <w:lang w:bidi="ar"/>
              </w:rPr>
              <w:t>3.2.1</w:t>
            </w:r>
          </w:p>
        </w:tc>
        <w:tc>
          <w:tcPr>
            <w:tcW w:w="2496" w:type="pct"/>
            <w:noWrap w:val="0"/>
            <w:vAlign w:val="center"/>
          </w:tcPr>
          <w:p w14:paraId="53C15CF7">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企业应当设立与所生产产品相适应的质量管理部门。</w:t>
            </w:r>
          </w:p>
        </w:tc>
        <w:tc>
          <w:tcPr>
            <w:tcW w:w="407" w:type="pct"/>
            <w:noWrap w:val="0"/>
            <w:vAlign w:val="center"/>
          </w:tcPr>
          <w:p w14:paraId="7CD2D0FF">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DB798D0">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《规范》第十五条</w:t>
            </w:r>
          </w:p>
        </w:tc>
      </w:tr>
      <w:tr w14:paraId="2F43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40277530">
            <w:pPr>
              <w:jc w:val="center"/>
              <w:rPr>
                <w:rFonts w:eastAsia="仿宋_GB2312"/>
                <w:color w:val="000000"/>
                <w:sz w:val="22"/>
                <w:szCs w:val="22"/>
              </w:rPr>
            </w:pPr>
          </w:p>
        </w:tc>
        <w:tc>
          <w:tcPr>
            <w:tcW w:w="326" w:type="pct"/>
            <w:noWrap w:val="0"/>
            <w:vAlign w:val="center"/>
          </w:tcPr>
          <w:p w14:paraId="4AE281B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w:t>
            </w:r>
          </w:p>
        </w:tc>
        <w:tc>
          <w:tcPr>
            <w:tcW w:w="523" w:type="pct"/>
            <w:noWrap w:val="0"/>
            <w:vAlign w:val="center"/>
          </w:tcPr>
          <w:p w14:paraId="0F0FD8B6">
            <w:pPr>
              <w:widowControl/>
              <w:jc w:val="center"/>
              <w:textAlignment w:val="center"/>
              <w:rPr>
                <w:rFonts w:eastAsia="仿宋_GB2312"/>
                <w:color w:val="000000"/>
                <w:sz w:val="22"/>
                <w:szCs w:val="22"/>
              </w:rPr>
            </w:pPr>
            <w:r>
              <w:rPr>
                <w:rFonts w:eastAsia="仿宋_GB2312"/>
                <w:color w:val="000000"/>
                <w:kern w:val="0"/>
                <w:sz w:val="22"/>
                <w:szCs w:val="22"/>
                <w:lang w:bidi="ar"/>
              </w:rPr>
              <w:t>3.2.2</w:t>
            </w:r>
          </w:p>
        </w:tc>
        <w:tc>
          <w:tcPr>
            <w:tcW w:w="2496" w:type="pct"/>
            <w:noWrap w:val="0"/>
            <w:vAlign w:val="center"/>
          </w:tcPr>
          <w:p w14:paraId="2EE14108">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质量管理部门应当参与和产品质量相关的各项活动，负责审核与本规范有关的文件。</w:t>
            </w:r>
          </w:p>
        </w:tc>
        <w:tc>
          <w:tcPr>
            <w:tcW w:w="407" w:type="pct"/>
            <w:noWrap w:val="0"/>
            <w:vAlign w:val="center"/>
          </w:tcPr>
          <w:p w14:paraId="4A96A732">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DDFA7EA">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《规范》第十五条</w:t>
            </w:r>
          </w:p>
        </w:tc>
      </w:tr>
      <w:tr w14:paraId="08BC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575820C">
            <w:pPr>
              <w:jc w:val="center"/>
              <w:rPr>
                <w:rFonts w:eastAsia="仿宋_GB2312"/>
                <w:color w:val="000000"/>
                <w:sz w:val="22"/>
                <w:szCs w:val="22"/>
              </w:rPr>
            </w:pPr>
          </w:p>
        </w:tc>
        <w:tc>
          <w:tcPr>
            <w:tcW w:w="326" w:type="pct"/>
            <w:noWrap w:val="0"/>
            <w:vAlign w:val="center"/>
          </w:tcPr>
          <w:p w14:paraId="78ED3B2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w:t>
            </w:r>
          </w:p>
        </w:tc>
        <w:tc>
          <w:tcPr>
            <w:tcW w:w="523" w:type="pct"/>
            <w:noWrap w:val="0"/>
            <w:vAlign w:val="center"/>
          </w:tcPr>
          <w:p w14:paraId="3721287A">
            <w:pPr>
              <w:widowControl/>
              <w:jc w:val="center"/>
              <w:textAlignment w:val="center"/>
              <w:rPr>
                <w:rFonts w:eastAsia="仿宋_GB2312"/>
                <w:color w:val="000000"/>
                <w:sz w:val="22"/>
                <w:szCs w:val="22"/>
              </w:rPr>
            </w:pPr>
            <w:r>
              <w:rPr>
                <w:rFonts w:eastAsia="仿宋_GB2312"/>
                <w:color w:val="000000"/>
                <w:kern w:val="0"/>
                <w:sz w:val="22"/>
                <w:szCs w:val="22"/>
                <w:lang w:bidi="ar"/>
              </w:rPr>
              <w:t>3.2.3</w:t>
            </w:r>
          </w:p>
        </w:tc>
        <w:tc>
          <w:tcPr>
            <w:tcW w:w="2496" w:type="pct"/>
            <w:noWrap w:val="0"/>
            <w:vAlign w:val="center"/>
          </w:tcPr>
          <w:p w14:paraId="52063B59">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质量管理部门应当独立履行质量保证和质量控制职责，并对产品质量有否决权。</w:t>
            </w:r>
          </w:p>
        </w:tc>
        <w:tc>
          <w:tcPr>
            <w:tcW w:w="407" w:type="pct"/>
            <w:noWrap w:val="0"/>
            <w:vAlign w:val="center"/>
          </w:tcPr>
          <w:p w14:paraId="78541030">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847B8B1">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《规范》第十五条</w:t>
            </w:r>
          </w:p>
        </w:tc>
      </w:tr>
      <w:tr w14:paraId="5A1D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9C53FB5">
            <w:pPr>
              <w:jc w:val="center"/>
              <w:rPr>
                <w:rFonts w:eastAsia="仿宋_GB2312"/>
                <w:color w:val="000000"/>
                <w:sz w:val="22"/>
                <w:szCs w:val="22"/>
              </w:rPr>
            </w:pPr>
          </w:p>
        </w:tc>
        <w:tc>
          <w:tcPr>
            <w:tcW w:w="326" w:type="pct"/>
            <w:noWrap w:val="0"/>
            <w:vAlign w:val="center"/>
          </w:tcPr>
          <w:p w14:paraId="4456990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w:t>
            </w:r>
          </w:p>
        </w:tc>
        <w:tc>
          <w:tcPr>
            <w:tcW w:w="523" w:type="pct"/>
            <w:noWrap w:val="0"/>
            <w:vAlign w:val="center"/>
          </w:tcPr>
          <w:p w14:paraId="0A05D67F">
            <w:pPr>
              <w:widowControl/>
              <w:jc w:val="center"/>
              <w:textAlignment w:val="center"/>
              <w:rPr>
                <w:rFonts w:eastAsia="仿宋_GB2312"/>
                <w:color w:val="000000"/>
                <w:sz w:val="22"/>
                <w:szCs w:val="22"/>
              </w:rPr>
            </w:pPr>
            <w:r>
              <w:rPr>
                <w:rFonts w:eastAsia="仿宋_GB2312"/>
                <w:color w:val="000000"/>
                <w:kern w:val="0"/>
                <w:sz w:val="22"/>
                <w:szCs w:val="22"/>
                <w:lang w:bidi="ar"/>
              </w:rPr>
              <w:t>3.3.1</w:t>
            </w:r>
          </w:p>
        </w:tc>
        <w:tc>
          <w:tcPr>
            <w:tcW w:w="2496" w:type="pct"/>
            <w:noWrap w:val="0"/>
            <w:vAlign w:val="center"/>
          </w:tcPr>
          <w:p w14:paraId="09B29AAB">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企业应当配备足够数量并具有相应资质（含学历、培训和实践经验）的专业技术人员、管理人员、生产操作人员和专职检验人员。</w:t>
            </w:r>
          </w:p>
        </w:tc>
        <w:tc>
          <w:tcPr>
            <w:tcW w:w="407" w:type="pct"/>
            <w:noWrap w:val="0"/>
            <w:vAlign w:val="center"/>
          </w:tcPr>
          <w:p w14:paraId="662FA947">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0CA425D">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《规范》第十六条</w:t>
            </w:r>
          </w:p>
        </w:tc>
      </w:tr>
      <w:tr w14:paraId="4354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2BA6763">
            <w:pPr>
              <w:jc w:val="center"/>
              <w:rPr>
                <w:rFonts w:eastAsia="仿宋_GB2312"/>
                <w:color w:val="000000"/>
                <w:sz w:val="22"/>
                <w:szCs w:val="22"/>
              </w:rPr>
            </w:pPr>
          </w:p>
        </w:tc>
        <w:tc>
          <w:tcPr>
            <w:tcW w:w="326" w:type="pct"/>
            <w:noWrap w:val="0"/>
            <w:vAlign w:val="center"/>
          </w:tcPr>
          <w:p w14:paraId="576686C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w:t>
            </w:r>
          </w:p>
        </w:tc>
        <w:tc>
          <w:tcPr>
            <w:tcW w:w="523" w:type="pct"/>
            <w:noWrap w:val="0"/>
            <w:vAlign w:val="center"/>
          </w:tcPr>
          <w:p w14:paraId="4F57B519">
            <w:pPr>
              <w:widowControl/>
              <w:jc w:val="center"/>
              <w:textAlignment w:val="center"/>
              <w:rPr>
                <w:rFonts w:eastAsia="仿宋_GB2312"/>
                <w:color w:val="000000"/>
                <w:sz w:val="22"/>
                <w:szCs w:val="22"/>
              </w:rPr>
            </w:pPr>
            <w:r>
              <w:rPr>
                <w:rFonts w:eastAsia="仿宋_GB2312"/>
                <w:color w:val="000000"/>
                <w:kern w:val="0"/>
                <w:sz w:val="22"/>
                <w:szCs w:val="22"/>
                <w:lang w:bidi="ar"/>
              </w:rPr>
              <w:t>3.3.2</w:t>
            </w:r>
          </w:p>
        </w:tc>
        <w:tc>
          <w:tcPr>
            <w:tcW w:w="2496" w:type="pct"/>
            <w:noWrap w:val="0"/>
            <w:vAlign w:val="center"/>
          </w:tcPr>
          <w:p w14:paraId="3515E60A">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企业应当明确规定每个岗位的职责，岗位职责不得遗漏，交叉的职责应当有明确规定。</w:t>
            </w:r>
          </w:p>
        </w:tc>
        <w:tc>
          <w:tcPr>
            <w:tcW w:w="407" w:type="pct"/>
            <w:noWrap w:val="0"/>
            <w:vAlign w:val="center"/>
          </w:tcPr>
          <w:p w14:paraId="49181AB9">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7F57928">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《规范》第十六条</w:t>
            </w:r>
          </w:p>
        </w:tc>
      </w:tr>
      <w:tr w14:paraId="65C9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continue"/>
            <w:noWrap w:val="0"/>
            <w:vAlign w:val="center"/>
          </w:tcPr>
          <w:p w14:paraId="31D724A5">
            <w:pPr>
              <w:jc w:val="center"/>
              <w:rPr>
                <w:rFonts w:eastAsia="仿宋_GB2312"/>
                <w:color w:val="000000"/>
                <w:sz w:val="22"/>
                <w:szCs w:val="22"/>
              </w:rPr>
            </w:pPr>
          </w:p>
        </w:tc>
        <w:tc>
          <w:tcPr>
            <w:tcW w:w="326" w:type="pct"/>
            <w:noWrap w:val="0"/>
            <w:vAlign w:val="center"/>
          </w:tcPr>
          <w:p w14:paraId="55F9EDD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w:t>
            </w:r>
          </w:p>
        </w:tc>
        <w:tc>
          <w:tcPr>
            <w:tcW w:w="523" w:type="pct"/>
            <w:noWrap w:val="0"/>
            <w:vAlign w:val="center"/>
          </w:tcPr>
          <w:p w14:paraId="085D6146">
            <w:pPr>
              <w:widowControl/>
              <w:jc w:val="center"/>
              <w:textAlignment w:val="center"/>
              <w:rPr>
                <w:rFonts w:eastAsia="仿宋_GB2312"/>
                <w:color w:val="000000"/>
                <w:sz w:val="22"/>
                <w:szCs w:val="22"/>
              </w:rPr>
            </w:pPr>
            <w:r>
              <w:rPr>
                <w:rFonts w:eastAsia="仿宋_GB2312"/>
                <w:color w:val="000000"/>
                <w:kern w:val="0"/>
                <w:sz w:val="22"/>
                <w:szCs w:val="22"/>
                <w:lang w:bidi="ar"/>
              </w:rPr>
              <w:t>3.4.1</w:t>
            </w:r>
          </w:p>
        </w:tc>
        <w:tc>
          <w:tcPr>
            <w:tcW w:w="2496" w:type="pct"/>
            <w:noWrap w:val="0"/>
            <w:vAlign w:val="center"/>
          </w:tcPr>
          <w:p w14:paraId="43DB25B5">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407" w:type="pct"/>
            <w:noWrap w:val="0"/>
            <w:vAlign w:val="center"/>
          </w:tcPr>
          <w:p w14:paraId="1ADF83B7">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1D45F0D">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《规范》第十七条</w:t>
            </w:r>
          </w:p>
        </w:tc>
      </w:tr>
      <w:tr w14:paraId="5DED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89" w:type="pct"/>
            <w:vMerge w:val="continue"/>
            <w:noWrap w:val="0"/>
            <w:vAlign w:val="center"/>
          </w:tcPr>
          <w:p w14:paraId="2323634A">
            <w:pPr>
              <w:jc w:val="center"/>
              <w:rPr>
                <w:rFonts w:eastAsia="仿宋_GB2312"/>
                <w:color w:val="000000"/>
                <w:sz w:val="22"/>
                <w:szCs w:val="22"/>
              </w:rPr>
            </w:pPr>
          </w:p>
        </w:tc>
        <w:tc>
          <w:tcPr>
            <w:tcW w:w="326" w:type="pct"/>
            <w:noWrap w:val="0"/>
            <w:vAlign w:val="center"/>
          </w:tcPr>
          <w:p w14:paraId="7027DC5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w:t>
            </w:r>
          </w:p>
        </w:tc>
        <w:tc>
          <w:tcPr>
            <w:tcW w:w="523" w:type="pct"/>
            <w:noWrap w:val="0"/>
            <w:vAlign w:val="center"/>
          </w:tcPr>
          <w:p w14:paraId="252A7BF7">
            <w:pPr>
              <w:widowControl/>
              <w:jc w:val="center"/>
              <w:textAlignment w:val="center"/>
              <w:rPr>
                <w:rFonts w:eastAsia="仿宋_GB2312"/>
                <w:color w:val="000000"/>
                <w:sz w:val="22"/>
                <w:szCs w:val="22"/>
              </w:rPr>
            </w:pPr>
            <w:r>
              <w:rPr>
                <w:rFonts w:eastAsia="仿宋_GB2312"/>
                <w:color w:val="000000"/>
                <w:kern w:val="0"/>
                <w:sz w:val="22"/>
                <w:szCs w:val="22"/>
                <w:lang w:bidi="ar"/>
              </w:rPr>
              <w:t>3.4.2</w:t>
            </w:r>
          </w:p>
        </w:tc>
        <w:tc>
          <w:tcPr>
            <w:tcW w:w="2496" w:type="pct"/>
            <w:noWrap w:val="0"/>
            <w:vAlign w:val="center"/>
          </w:tcPr>
          <w:p w14:paraId="52A3AFC9">
            <w:pPr>
              <w:widowControl/>
              <w:spacing w:line="290" w:lineRule="exact"/>
              <w:jc w:val="left"/>
              <w:textAlignment w:val="center"/>
              <w:rPr>
                <w:rFonts w:eastAsia="仿宋_GB2312"/>
                <w:color w:val="000000"/>
                <w:sz w:val="22"/>
                <w:szCs w:val="22"/>
              </w:rPr>
            </w:pPr>
            <w:r>
              <w:rPr>
                <w:rFonts w:eastAsia="仿宋_GB2312"/>
                <w:color w:val="000000"/>
                <w:kern w:val="0"/>
                <w:sz w:val="22"/>
                <w:szCs w:val="22"/>
                <w:lang w:bidi="ar"/>
              </w:rPr>
              <w:t>关键岗位人员应当熟悉医疗器械相关法律法规，具有质量管理的实践经验，有能力对生产管理和质量管理中的实际问题作出正确的判断和处理。软件开发、测试、维护人员应当具备与岗位职责要求相适宜的专业知识、实践经验和工作能力。</w:t>
            </w:r>
          </w:p>
        </w:tc>
        <w:tc>
          <w:tcPr>
            <w:tcW w:w="407" w:type="pct"/>
            <w:noWrap w:val="0"/>
            <w:vAlign w:val="center"/>
          </w:tcPr>
          <w:p w14:paraId="023AFC3E">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19C3DAE">
            <w:pPr>
              <w:widowControl/>
              <w:spacing w:line="290" w:lineRule="exact"/>
              <w:jc w:val="center"/>
              <w:textAlignment w:val="center"/>
              <w:rPr>
                <w:rFonts w:eastAsia="仿宋_GB2312"/>
                <w:color w:val="000000"/>
                <w:sz w:val="22"/>
                <w:szCs w:val="22"/>
              </w:rPr>
            </w:pPr>
            <w:r>
              <w:rPr>
                <w:rFonts w:eastAsia="仿宋_GB2312"/>
                <w:color w:val="000000"/>
                <w:kern w:val="0"/>
                <w:sz w:val="22"/>
                <w:szCs w:val="22"/>
                <w:lang w:bidi="ar"/>
              </w:rPr>
              <w:t>《规范》第十七条,</w:t>
            </w:r>
            <w:r>
              <w:rPr>
                <w:rFonts w:eastAsia="仿宋_GB2312"/>
                <w:color w:val="000000"/>
                <w:kern w:val="0"/>
                <w:sz w:val="22"/>
                <w:szCs w:val="22"/>
                <w:lang w:bidi="ar"/>
              </w:rPr>
              <w:br w:type="textWrapping"/>
            </w:r>
            <w:r>
              <w:rPr>
                <w:rFonts w:eastAsia="仿宋_GB2312"/>
                <w:kern w:val="0"/>
                <w:sz w:val="22"/>
                <w:szCs w:val="22"/>
              </w:rPr>
              <w:t>《独立软件附录》2.1.1</w:t>
            </w:r>
          </w:p>
        </w:tc>
      </w:tr>
      <w:tr w14:paraId="5764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2818BEE2">
            <w:pPr>
              <w:jc w:val="center"/>
              <w:rPr>
                <w:rFonts w:eastAsia="仿宋_GB2312"/>
                <w:color w:val="000000"/>
                <w:sz w:val="22"/>
                <w:szCs w:val="22"/>
              </w:rPr>
            </w:pPr>
          </w:p>
        </w:tc>
        <w:tc>
          <w:tcPr>
            <w:tcW w:w="326" w:type="pct"/>
            <w:noWrap w:val="0"/>
            <w:vAlign w:val="center"/>
          </w:tcPr>
          <w:p w14:paraId="7530747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20</w:t>
            </w:r>
          </w:p>
        </w:tc>
        <w:tc>
          <w:tcPr>
            <w:tcW w:w="523" w:type="pct"/>
            <w:noWrap w:val="0"/>
            <w:vAlign w:val="center"/>
          </w:tcPr>
          <w:p w14:paraId="628F4247">
            <w:pPr>
              <w:widowControl/>
              <w:jc w:val="center"/>
              <w:textAlignment w:val="center"/>
              <w:rPr>
                <w:rFonts w:eastAsia="仿宋_GB2312"/>
                <w:color w:val="000000"/>
                <w:sz w:val="22"/>
                <w:szCs w:val="22"/>
              </w:rPr>
            </w:pPr>
            <w:r>
              <w:rPr>
                <w:rFonts w:eastAsia="仿宋_GB2312"/>
                <w:color w:val="000000"/>
                <w:kern w:val="0"/>
                <w:sz w:val="22"/>
                <w:szCs w:val="22"/>
                <w:lang w:bidi="ar"/>
              </w:rPr>
              <w:t>3.4.3</w:t>
            </w:r>
          </w:p>
        </w:tc>
        <w:tc>
          <w:tcPr>
            <w:tcW w:w="2496" w:type="pct"/>
            <w:noWrap w:val="0"/>
            <w:vAlign w:val="center"/>
          </w:tcPr>
          <w:p w14:paraId="6288E332">
            <w:pPr>
              <w:widowControl/>
              <w:jc w:val="left"/>
              <w:textAlignment w:val="center"/>
              <w:rPr>
                <w:rFonts w:eastAsia="仿宋_GB2312"/>
                <w:color w:val="000000"/>
                <w:sz w:val="22"/>
                <w:szCs w:val="22"/>
              </w:rPr>
            </w:pPr>
            <w:r>
              <w:rPr>
                <w:rFonts w:eastAsia="仿宋_GB2312"/>
                <w:color w:val="000000"/>
                <w:kern w:val="0"/>
                <w:sz w:val="22"/>
                <w:szCs w:val="22"/>
                <w:lang w:bidi="ar"/>
              </w:rPr>
              <w:t>软件用户测试人员应当具备适宜的软件产品使用经验，或经过培训具备适宜的软件产品使用技能。</w:t>
            </w:r>
          </w:p>
        </w:tc>
        <w:tc>
          <w:tcPr>
            <w:tcW w:w="407" w:type="pct"/>
            <w:noWrap w:val="0"/>
            <w:vAlign w:val="center"/>
          </w:tcPr>
          <w:p w14:paraId="0A669BB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8DE91B0">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《独立软件附录》2.1.3</w:t>
            </w:r>
          </w:p>
        </w:tc>
      </w:tr>
      <w:tr w14:paraId="6964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6E227722">
            <w:pPr>
              <w:jc w:val="center"/>
              <w:rPr>
                <w:rFonts w:eastAsia="仿宋_GB2312"/>
                <w:color w:val="000000"/>
                <w:sz w:val="22"/>
                <w:szCs w:val="22"/>
              </w:rPr>
            </w:pPr>
          </w:p>
        </w:tc>
        <w:tc>
          <w:tcPr>
            <w:tcW w:w="326" w:type="pct"/>
            <w:noWrap w:val="0"/>
            <w:vAlign w:val="center"/>
          </w:tcPr>
          <w:p w14:paraId="3709F4E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21</w:t>
            </w:r>
          </w:p>
        </w:tc>
        <w:tc>
          <w:tcPr>
            <w:tcW w:w="523" w:type="pct"/>
            <w:noWrap w:val="0"/>
            <w:vAlign w:val="center"/>
          </w:tcPr>
          <w:p w14:paraId="2A38DCC2">
            <w:pPr>
              <w:widowControl/>
              <w:jc w:val="center"/>
              <w:textAlignment w:val="center"/>
              <w:rPr>
                <w:rFonts w:eastAsia="仿宋_GB2312"/>
                <w:color w:val="000000"/>
                <w:sz w:val="22"/>
                <w:szCs w:val="22"/>
              </w:rPr>
            </w:pPr>
            <w:r>
              <w:rPr>
                <w:rFonts w:eastAsia="仿宋_GB2312"/>
                <w:color w:val="000000"/>
                <w:kern w:val="0"/>
                <w:sz w:val="22"/>
                <w:szCs w:val="22"/>
                <w:lang w:bidi="ar"/>
              </w:rPr>
              <w:t>3.4.4</w:t>
            </w:r>
          </w:p>
        </w:tc>
        <w:tc>
          <w:tcPr>
            <w:tcW w:w="2496" w:type="pct"/>
            <w:noWrap w:val="0"/>
            <w:vAlign w:val="center"/>
          </w:tcPr>
          <w:p w14:paraId="0B8A6095">
            <w:pPr>
              <w:widowControl/>
              <w:jc w:val="left"/>
              <w:textAlignment w:val="center"/>
              <w:rPr>
                <w:rFonts w:eastAsia="仿宋_GB2312"/>
                <w:color w:val="000000"/>
                <w:sz w:val="22"/>
                <w:szCs w:val="22"/>
              </w:rPr>
            </w:pPr>
            <w:r>
              <w:rPr>
                <w:rFonts w:eastAsia="仿宋_GB2312"/>
                <w:color w:val="000000"/>
                <w:kern w:val="0"/>
                <w:sz w:val="22"/>
                <w:szCs w:val="22"/>
                <w:lang w:bidi="ar"/>
              </w:rPr>
              <w:t>黑盒测试应当保证同一软件项的开发人员和测试人员不得互相兼任。</w:t>
            </w:r>
          </w:p>
        </w:tc>
        <w:tc>
          <w:tcPr>
            <w:tcW w:w="407" w:type="pct"/>
            <w:noWrap w:val="0"/>
            <w:vAlign w:val="center"/>
          </w:tcPr>
          <w:p w14:paraId="5592316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8C4E470">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《独立软件附录》2.1.2</w:t>
            </w:r>
          </w:p>
        </w:tc>
      </w:tr>
      <w:tr w14:paraId="43E8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3A95B222">
            <w:pPr>
              <w:jc w:val="center"/>
              <w:rPr>
                <w:rFonts w:eastAsia="仿宋_GB2312"/>
                <w:color w:val="000000"/>
                <w:sz w:val="22"/>
                <w:szCs w:val="22"/>
              </w:rPr>
            </w:pPr>
          </w:p>
        </w:tc>
        <w:tc>
          <w:tcPr>
            <w:tcW w:w="326" w:type="pct"/>
            <w:noWrap w:val="0"/>
            <w:vAlign w:val="center"/>
          </w:tcPr>
          <w:p w14:paraId="16B6C3F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22</w:t>
            </w:r>
          </w:p>
        </w:tc>
        <w:tc>
          <w:tcPr>
            <w:tcW w:w="523" w:type="pct"/>
            <w:noWrap w:val="0"/>
            <w:vAlign w:val="center"/>
          </w:tcPr>
          <w:p w14:paraId="6A190614">
            <w:pPr>
              <w:widowControl/>
              <w:jc w:val="center"/>
              <w:textAlignment w:val="center"/>
              <w:rPr>
                <w:rFonts w:eastAsia="仿宋_GB2312"/>
                <w:color w:val="000000"/>
                <w:sz w:val="22"/>
                <w:szCs w:val="22"/>
              </w:rPr>
            </w:pPr>
            <w:r>
              <w:rPr>
                <w:rFonts w:eastAsia="仿宋_GB2312"/>
                <w:color w:val="000000"/>
                <w:kern w:val="0"/>
                <w:sz w:val="22"/>
                <w:szCs w:val="22"/>
                <w:lang w:bidi="ar"/>
              </w:rPr>
              <w:t>3.5.1</w:t>
            </w:r>
          </w:p>
        </w:tc>
        <w:tc>
          <w:tcPr>
            <w:tcW w:w="2496" w:type="pct"/>
            <w:noWrap w:val="0"/>
            <w:vAlign w:val="center"/>
          </w:tcPr>
          <w:p w14:paraId="17094525">
            <w:pPr>
              <w:widowControl/>
              <w:jc w:val="left"/>
              <w:textAlignment w:val="center"/>
              <w:rPr>
                <w:rFonts w:eastAsia="仿宋_GB2312"/>
                <w:color w:val="000000"/>
                <w:sz w:val="22"/>
                <w:szCs w:val="22"/>
              </w:rPr>
            </w:pPr>
            <w:r>
              <w:rPr>
                <w:rFonts w:eastAsia="仿宋_GB2312"/>
                <w:color w:val="000000"/>
                <w:kern w:val="0"/>
                <w:sz w:val="22"/>
                <w:szCs w:val="22"/>
                <w:lang w:bidi="ar"/>
              </w:rPr>
              <w:t>企业法定代表人、主要负责人负责组织制定企业的质量方针和质量目标，并确保质量管理体系有效运行所需的人力资源、基础设施和工作环境等。</w:t>
            </w:r>
          </w:p>
        </w:tc>
        <w:tc>
          <w:tcPr>
            <w:tcW w:w="407" w:type="pct"/>
            <w:noWrap w:val="0"/>
            <w:vAlign w:val="center"/>
          </w:tcPr>
          <w:p w14:paraId="6C04BFE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853CF40">
            <w:pPr>
              <w:widowControl/>
              <w:jc w:val="center"/>
              <w:textAlignment w:val="center"/>
              <w:rPr>
                <w:rFonts w:eastAsia="仿宋_GB2312"/>
                <w:color w:val="000000"/>
                <w:sz w:val="22"/>
                <w:szCs w:val="22"/>
              </w:rPr>
            </w:pPr>
            <w:r>
              <w:rPr>
                <w:rFonts w:eastAsia="仿宋_GB2312"/>
                <w:color w:val="000000"/>
                <w:kern w:val="0"/>
                <w:sz w:val="22"/>
                <w:szCs w:val="22"/>
                <w:lang w:bidi="ar"/>
              </w:rPr>
              <w:t>《规范》第十八条</w:t>
            </w:r>
          </w:p>
        </w:tc>
      </w:tr>
      <w:tr w14:paraId="5751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E603EF6">
            <w:pPr>
              <w:jc w:val="center"/>
              <w:rPr>
                <w:rFonts w:eastAsia="仿宋_GB2312"/>
                <w:color w:val="000000"/>
                <w:sz w:val="22"/>
                <w:szCs w:val="22"/>
              </w:rPr>
            </w:pPr>
          </w:p>
        </w:tc>
        <w:tc>
          <w:tcPr>
            <w:tcW w:w="326" w:type="pct"/>
            <w:noWrap w:val="0"/>
            <w:vAlign w:val="center"/>
          </w:tcPr>
          <w:p w14:paraId="0B95D41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23</w:t>
            </w:r>
          </w:p>
        </w:tc>
        <w:tc>
          <w:tcPr>
            <w:tcW w:w="523" w:type="pct"/>
            <w:noWrap w:val="0"/>
            <w:vAlign w:val="center"/>
          </w:tcPr>
          <w:p w14:paraId="56AE6385">
            <w:pPr>
              <w:widowControl/>
              <w:jc w:val="center"/>
              <w:textAlignment w:val="center"/>
              <w:rPr>
                <w:rFonts w:eastAsia="仿宋_GB2312"/>
                <w:color w:val="000000"/>
                <w:sz w:val="22"/>
                <w:szCs w:val="22"/>
              </w:rPr>
            </w:pPr>
            <w:r>
              <w:rPr>
                <w:rFonts w:eastAsia="仿宋_GB2312"/>
                <w:color w:val="000000"/>
                <w:kern w:val="0"/>
                <w:sz w:val="22"/>
                <w:szCs w:val="22"/>
                <w:lang w:bidi="ar"/>
              </w:rPr>
              <w:t>3.5.2</w:t>
            </w:r>
          </w:p>
        </w:tc>
        <w:tc>
          <w:tcPr>
            <w:tcW w:w="2496" w:type="pct"/>
            <w:noWrap w:val="0"/>
            <w:vAlign w:val="center"/>
          </w:tcPr>
          <w:p w14:paraId="39C125CC">
            <w:pPr>
              <w:widowControl/>
              <w:jc w:val="left"/>
              <w:textAlignment w:val="center"/>
              <w:rPr>
                <w:rFonts w:eastAsia="仿宋_GB2312"/>
                <w:color w:val="000000"/>
                <w:sz w:val="22"/>
                <w:szCs w:val="22"/>
              </w:rPr>
            </w:pPr>
            <w:r>
              <w:rPr>
                <w:rFonts w:eastAsia="仿宋_GB2312"/>
                <w:color w:val="000000"/>
                <w:kern w:val="0"/>
                <w:sz w:val="22"/>
                <w:szCs w:val="22"/>
                <w:lang w:bidi="ar"/>
              </w:rPr>
              <w:t>企业法定代表人、主要负责人负责组织实施管理评审，定期对质量管理体系运行情况进行评估，并持续改进。</w:t>
            </w:r>
          </w:p>
        </w:tc>
        <w:tc>
          <w:tcPr>
            <w:tcW w:w="407" w:type="pct"/>
            <w:noWrap w:val="0"/>
            <w:vAlign w:val="center"/>
          </w:tcPr>
          <w:p w14:paraId="46D5934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2FA8101">
            <w:pPr>
              <w:widowControl/>
              <w:jc w:val="center"/>
              <w:textAlignment w:val="center"/>
              <w:rPr>
                <w:rFonts w:eastAsia="仿宋_GB2312"/>
                <w:color w:val="000000"/>
                <w:sz w:val="22"/>
                <w:szCs w:val="22"/>
              </w:rPr>
            </w:pPr>
            <w:r>
              <w:rPr>
                <w:rFonts w:eastAsia="仿宋_GB2312"/>
                <w:color w:val="000000"/>
                <w:kern w:val="0"/>
                <w:sz w:val="22"/>
                <w:szCs w:val="22"/>
                <w:lang w:bidi="ar"/>
              </w:rPr>
              <w:t>《规范》第十八条</w:t>
            </w:r>
          </w:p>
        </w:tc>
      </w:tr>
      <w:tr w14:paraId="0D65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5592CA1">
            <w:pPr>
              <w:jc w:val="center"/>
              <w:rPr>
                <w:rFonts w:eastAsia="仿宋_GB2312"/>
                <w:color w:val="000000"/>
                <w:sz w:val="22"/>
                <w:szCs w:val="22"/>
              </w:rPr>
            </w:pPr>
          </w:p>
        </w:tc>
        <w:tc>
          <w:tcPr>
            <w:tcW w:w="326" w:type="pct"/>
            <w:noWrap w:val="0"/>
            <w:vAlign w:val="center"/>
          </w:tcPr>
          <w:p w14:paraId="00E1CD6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24</w:t>
            </w:r>
          </w:p>
        </w:tc>
        <w:tc>
          <w:tcPr>
            <w:tcW w:w="523" w:type="pct"/>
            <w:noWrap w:val="0"/>
            <w:vAlign w:val="center"/>
          </w:tcPr>
          <w:p w14:paraId="1DE79F0A">
            <w:pPr>
              <w:widowControl/>
              <w:jc w:val="center"/>
              <w:textAlignment w:val="center"/>
              <w:rPr>
                <w:rFonts w:eastAsia="仿宋_GB2312"/>
                <w:color w:val="000000"/>
                <w:sz w:val="22"/>
                <w:szCs w:val="22"/>
              </w:rPr>
            </w:pPr>
            <w:r>
              <w:rPr>
                <w:rFonts w:eastAsia="仿宋_GB2312"/>
                <w:color w:val="000000"/>
                <w:kern w:val="0"/>
                <w:sz w:val="22"/>
                <w:szCs w:val="22"/>
                <w:lang w:bidi="ar"/>
              </w:rPr>
              <w:t>3.5.3</w:t>
            </w:r>
          </w:p>
        </w:tc>
        <w:tc>
          <w:tcPr>
            <w:tcW w:w="2496" w:type="pct"/>
            <w:noWrap w:val="0"/>
            <w:vAlign w:val="center"/>
          </w:tcPr>
          <w:p w14:paraId="40CA4B95">
            <w:pPr>
              <w:widowControl/>
              <w:jc w:val="left"/>
              <w:textAlignment w:val="center"/>
              <w:rPr>
                <w:rFonts w:eastAsia="仿宋_GB2312"/>
                <w:color w:val="000000"/>
                <w:sz w:val="22"/>
                <w:szCs w:val="22"/>
              </w:rPr>
            </w:pPr>
            <w:r>
              <w:rPr>
                <w:rFonts w:eastAsia="仿宋_GB2312"/>
                <w:color w:val="000000"/>
                <w:kern w:val="0"/>
                <w:sz w:val="22"/>
                <w:szCs w:val="22"/>
                <w:lang w:bidi="ar"/>
              </w:rPr>
              <w:t>企业法定代表人、主要负责人应当确保管理者代表、质量管理部门负责人和产品放行审核人独立履行职责，不受企业内部因素干扰。</w:t>
            </w:r>
          </w:p>
        </w:tc>
        <w:tc>
          <w:tcPr>
            <w:tcW w:w="407" w:type="pct"/>
            <w:noWrap w:val="0"/>
            <w:vAlign w:val="center"/>
          </w:tcPr>
          <w:p w14:paraId="6686597F">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22443D5">
            <w:pPr>
              <w:widowControl/>
              <w:jc w:val="center"/>
              <w:textAlignment w:val="center"/>
              <w:rPr>
                <w:rFonts w:eastAsia="仿宋_GB2312"/>
                <w:color w:val="000000"/>
                <w:sz w:val="22"/>
                <w:szCs w:val="22"/>
              </w:rPr>
            </w:pPr>
            <w:r>
              <w:rPr>
                <w:rFonts w:eastAsia="仿宋_GB2312"/>
                <w:color w:val="000000"/>
                <w:kern w:val="0"/>
                <w:sz w:val="22"/>
                <w:szCs w:val="22"/>
                <w:lang w:bidi="ar"/>
              </w:rPr>
              <w:t>《规范》第十八条</w:t>
            </w:r>
          </w:p>
        </w:tc>
      </w:tr>
      <w:tr w14:paraId="3881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78B2D371">
            <w:pPr>
              <w:jc w:val="center"/>
              <w:rPr>
                <w:rFonts w:eastAsia="仿宋_GB2312"/>
                <w:color w:val="000000"/>
                <w:sz w:val="22"/>
                <w:szCs w:val="22"/>
              </w:rPr>
            </w:pPr>
          </w:p>
        </w:tc>
        <w:tc>
          <w:tcPr>
            <w:tcW w:w="326" w:type="pct"/>
            <w:noWrap w:val="0"/>
            <w:vAlign w:val="center"/>
          </w:tcPr>
          <w:p w14:paraId="71B5A21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25</w:t>
            </w:r>
          </w:p>
        </w:tc>
        <w:tc>
          <w:tcPr>
            <w:tcW w:w="523" w:type="pct"/>
            <w:noWrap w:val="0"/>
            <w:vAlign w:val="center"/>
          </w:tcPr>
          <w:p w14:paraId="07DF308B">
            <w:pPr>
              <w:widowControl/>
              <w:jc w:val="center"/>
              <w:textAlignment w:val="center"/>
              <w:rPr>
                <w:rFonts w:eastAsia="仿宋_GB2312"/>
                <w:color w:val="000000"/>
                <w:sz w:val="22"/>
                <w:szCs w:val="22"/>
              </w:rPr>
            </w:pPr>
            <w:r>
              <w:rPr>
                <w:rFonts w:eastAsia="仿宋_GB2312"/>
                <w:color w:val="000000"/>
                <w:kern w:val="0"/>
                <w:sz w:val="22"/>
                <w:szCs w:val="22"/>
                <w:lang w:bidi="ar"/>
              </w:rPr>
              <w:t>3.5.4</w:t>
            </w:r>
          </w:p>
        </w:tc>
        <w:tc>
          <w:tcPr>
            <w:tcW w:w="2496" w:type="pct"/>
            <w:noWrap w:val="0"/>
            <w:vAlign w:val="center"/>
          </w:tcPr>
          <w:p w14:paraId="131465CA">
            <w:pPr>
              <w:widowControl/>
              <w:jc w:val="left"/>
              <w:textAlignment w:val="center"/>
              <w:rPr>
                <w:rFonts w:eastAsia="仿宋_GB2312"/>
                <w:color w:val="000000"/>
                <w:sz w:val="22"/>
                <w:szCs w:val="22"/>
              </w:rPr>
            </w:pPr>
            <w:r>
              <w:rPr>
                <w:rFonts w:eastAsia="仿宋_GB2312"/>
                <w:color w:val="000000"/>
                <w:kern w:val="0"/>
                <w:sz w:val="22"/>
                <w:szCs w:val="22"/>
                <w:lang w:bidi="ar"/>
              </w:rPr>
              <w:t>企业法定代表人、主要负责人对医疗器械生产全面负责，应当按照相关法律、法规、规章、强制性标准以及经注册或者备案的产品技术要求组织生产。</w:t>
            </w:r>
          </w:p>
        </w:tc>
        <w:tc>
          <w:tcPr>
            <w:tcW w:w="407" w:type="pct"/>
            <w:noWrap w:val="0"/>
            <w:vAlign w:val="center"/>
          </w:tcPr>
          <w:p w14:paraId="036D998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4C8BC43">
            <w:pPr>
              <w:widowControl/>
              <w:jc w:val="center"/>
              <w:textAlignment w:val="center"/>
              <w:rPr>
                <w:rFonts w:eastAsia="仿宋_GB2312"/>
                <w:color w:val="000000"/>
                <w:sz w:val="22"/>
                <w:szCs w:val="22"/>
              </w:rPr>
            </w:pPr>
            <w:r>
              <w:rPr>
                <w:rFonts w:eastAsia="仿宋_GB2312"/>
                <w:color w:val="000000"/>
                <w:kern w:val="0"/>
                <w:sz w:val="22"/>
                <w:szCs w:val="22"/>
                <w:lang w:bidi="ar"/>
              </w:rPr>
              <w:t>《规范》第十八条</w:t>
            </w:r>
          </w:p>
        </w:tc>
      </w:tr>
      <w:tr w14:paraId="6EED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9A81F46">
            <w:pPr>
              <w:jc w:val="center"/>
              <w:rPr>
                <w:rFonts w:eastAsia="仿宋_GB2312"/>
                <w:color w:val="000000"/>
                <w:sz w:val="22"/>
                <w:szCs w:val="22"/>
              </w:rPr>
            </w:pPr>
          </w:p>
        </w:tc>
        <w:tc>
          <w:tcPr>
            <w:tcW w:w="326" w:type="pct"/>
            <w:noWrap w:val="0"/>
            <w:vAlign w:val="center"/>
          </w:tcPr>
          <w:p w14:paraId="1CFAD56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26</w:t>
            </w:r>
          </w:p>
        </w:tc>
        <w:tc>
          <w:tcPr>
            <w:tcW w:w="523" w:type="pct"/>
            <w:noWrap w:val="0"/>
            <w:vAlign w:val="center"/>
          </w:tcPr>
          <w:p w14:paraId="4D42B76D">
            <w:pPr>
              <w:widowControl/>
              <w:jc w:val="center"/>
              <w:textAlignment w:val="center"/>
              <w:rPr>
                <w:rFonts w:eastAsia="仿宋_GB2312"/>
                <w:color w:val="000000"/>
                <w:sz w:val="22"/>
                <w:szCs w:val="22"/>
              </w:rPr>
            </w:pPr>
            <w:r>
              <w:rPr>
                <w:rFonts w:eastAsia="仿宋_GB2312"/>
                <w:color w:val="000000"/>
                <w:kern w:val="0"/>
                <w:sz w:val="22"/>
                <w:szCs w:val="22"/>
                <w:lang w:bidi="ar"/>
              </w:rPr>
              <w:t>3.6.1</w:t>
            </w:r>
          </w:p>
        </w:tc>
        <w:tc>
          <w:tcPr>
            <w:tcW w:w="2496" w:type="pct"/>
            <w:noWrap w:val="0"/>
            <w:vAlign w:val="center"/>
          </w:tcPr>
          <w:p w14:paraId="21F13C15">
            <w:pPr>
              <w:widowControl/>
              <w:jc w:val="left"/>
              <w:textAlignment w:val="center"/>
              <w:rPr>
                <w:rFonts w:eastAsia="仿宋_GB2312"/>
                <w:color w:val="000000"/>
                <w:sz w:val="22"/>
                <w:szCs w:val="22"/>
              </w:rPr>
            </w:pPr>
            <w:r>
              <w:rPr>
                <w:rFonts w:eastAsia="仿宋_GB2312"/>
                <w:color w:val="000000"/>
                <w:kern w:val="0"/>
                <w:sz w:val="22"/>
                <w:szCs w:val="22"/>
                <w:lang w:bidi="ar"/>
              </w:rPr>
              <w:t>企业应当在高层管理人员中任命一名管理者代表。</w:t>
            </w:r>
          </w:p>
        </w:tc>
        <w:tc>
          <w:tcPr>
            <w:tcW w:w="407" w:type="pct"/>
            <w:noWrap w:val="0"/>
            <w:vAlign w:val="center"/>
          </w:tcPr>
          <w:p w14:paraId="52BD494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4FE0832">
            <w:pPr>
              <w:widowControl/>
              <w:jc w:val="center"/>
              <w:textAlignment w:val="center"/>
              <w:rPr>
                <w:rFonts w:eastAsia="仿宋_GB2312"/>
                <w:color w:val="000000"/>
                <w:sz w:val="22"/>
                <w:szCs w:val="22"/>
              </w:rPr>
            </w:pPr>
            <w:r>
              <w:rPr>
                <w:rFonts w:eastAsia="仿宋_GB2312"/>
                <w:color w:val="000000"/>
                <w:kern w:val="0"/>
                <w:sz w:val="22"/>
                <w:szCs w:val="22"/>
                <w:lang w:bidi="ar"/>
              </w:rPr>
              <w:t>《规范》第十九条</w:t>
            </w:r>
          </w:p>
        </w:tc>
      </w:tr>
      <w:tr w14:paraId="717F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589" w:type="pct"/>
            <w:vMerge w:val="continue"/>
            <w:noWrap w:val="0"/>
            <w:vAlign w:val="center"/>
          </w:tcPr>
          <w:p w14:paraId="09A6E483">
            <w:pPr>
              <w:jc w:val="center"/>
              <w:rPr>
                <w:rFonts w:eastAsia="仿宋_GB2312"/>
                <w:color w:val="000000"/>
                <w:sz w:val="22"/>
                <w:szCs w:val="22"/>
              </w:rPr>
            </w:pPr>
          </w:p>
        </w:tc>
        <w:tc>
          <w:tcPr>
            <w:tcW w:w="326" w:type="pct"/>
            <w:noWrap w:val="0"/>
            <w:vAlign w:val="center"/>
          </w:tcPr>
          <w:p w14:paraId="6B1CC55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27</w:t>
            </w:r>
          </w:p>
        </w:tc>
        <w:tc>
          <w:tcPr>
            <w:tcW w:w="523" w:type="pct"/>
            <w:noWrap w:val="0"/>
            <w:vAlign w:val="center"/>
          </w:tcPr>
          <w:p w14:paraId="0B6C542F">
            <w:pPr>
              <w:widowControl/>
              <w:jc w:val="center"/>
              <w:textAlignment w:val="center"/>
              <w:rPr>
                <w:rFonts w:eastAsia="仿宋_GB2312"/>
                <w:color w:val="000000"/>
                <w:sz w:val="22"/>
                <w:szCs w:val="22"/>
              </w:rPr>
            </w:pPr>
            <w:r>
              <w:rPr>
                <w:rFonts w:eastAsia="仿宋_GB2312"/>
                <w:color w:val="000000"/>
                <w:kern w:val="0"/>
                <w:sz w:val="22"/>
                <w:szCs w:val="22"/>
                <w:lang w:bidi="ar"/>
              </w:rPr>
              <w:t>3.6.2</w:t>
            </w:r>
          </w:p>
        </w:tc>
        <w:tc>
          <w:tcPr>
            <w:tcW w:w="2496" w:type="pct"/>
            <w:noWrap w:val="0"/>
            <w:vAlign w:val="center"/>
          </w:tcPr>
          <w:p w14:paraId="7A48BE49">
            <w:pPr>
              <w:widowControl/>
              <w:jc w:val="left"/>
              <w:textAlignment w:val="center"/>
              <w:rPr>
                <w:rFonts w:eastAsia="仿宋_GB2312"/>
                <w:color w:val="000000"/>
                <w:sz w:val="22"/>
                <w:szCs w:val="22"/>
              </w:rPr>
            </w:pPr>
            <w:r>
              <w:rPr>
                <w:rFonts w:eastAsia="仿宋_GB2312"/>
                <w:color w:val="000000"/>
                <w:kern w:val="0"/>
                <w:sz w:val="22"/>
                <w:szCs w:val="22"/>
                <w:lang w:bidi="ar"/>
              </w:rPr>
              <w:t>第二类、第三类医疗器械企业管理者代表应当具有医疗器械相关专业大学本科及以上学历或者中级及以上技术职称；第一类医疗器械企业管理者代表应当具有医疗器械相关专业大学专科及以上学历。管理者代表原则上应当具有三年及以上医疗器械质量管理或者生产、技术管理工作经验，熟悉产品生产和质量管理情况，具有良好履职能力。</w:t>
            </w:r>
          </w:p>
        </w:tc>
        <w:tc>
          <w:tcPr>
            <w:tcW w:w="407" w:type="pct"/>
            <w:noWrap w:val="0"/>
            <w:vAlign w:val="center"/>
          </w:tcPr>
          <w:p w14:paraId="370C178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DECEA78">
            <w:pPr>
              <w:widowControl/>
              <w:jc w:val="center"/>
              <w:textAlignment w:val="center"/>
              <w:rPr>
                <w:rFonts w:eastAsia="仿宋_GB2312"/>
                <w:color w:val="000000"/>
                <w:sz w:val="22"/>
                <w:szCs w:val="22"/>
              </w:rPr>
            </w:pPr>
            <w:r>
              <w:rPr>
                <w:rFonts w:eastAsia="仿宋_GB2312"/>
                <w:color w:val="000000"/>
                <w:kern w:val="0"/>
                <w:sz w:val="22"/>
                <w:szCs w:val="22"/>
                <w:lang w:bidi="ar"/>
              </w:rPr>
              <w:t>《规范》第十九条</w:t>
            </w:r>
          </w:p>
        </w:tc>
      </w:tr>
      <w:tr w14:paraId="430C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89" w:type="pct"/>
            <w:vMerge w:val="continue"/>
            <w:noWrap w:val="0"/>
            <w:vAlign w:val="center"/>
          </w:tcPr>
          <w:p w14:paraId="5288903A">
            <w:pPr>
              <w:jc w:val="center"/>
              <w:rPr>
                <w:rFonts w:eastAsia="仿宋_GB2312"/>
                <w:color w:val="000000"/>
                <w:sz w:val="22"/>
                <w:szCs w:val="22"/>
              </w:rPr>
            </w:pPr>
          </w:p>
        </w:tc>
        <w:tc>
          <w:tcPr>
            <w:tcW w:w="326" w:type="pct"/>
            <w:noWrap w:val="0"/>
            <w:vAlign w:val="center"/>
          </w:tcPr>
          <w:p w14:paraId="2BD1CA9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28</w:t>
            </w:r>
          </w:p>
        </w:tc>
        <w:tc>
          <w:tcPr>
            <w:tcW w:w="523" w:type="pct"/>
            <w:noWrap w:val="0"/>
            <w:vAlign w:val="center"/>
          </w:tcPr>
          <w:p w14:paraId="1949F6F1">
            <w:pPr>
              <w:widowControl/>
              <w:jc w:val="center"/>
              <w:textAlignment w:val="center"/>
              <w:rPr>
                <w:rFonts w:eastAsia="仿宋_GB2312"/>
                <w:color w:val="000000"/>
                <w:sz w:val="22"/>
                <w:szCs w:val="22"/>
              </w:rPr>
            </w:pPr>
            <w:r>
              <w:rPr>
                <w:rFonts w:eastAsia="仿宋_GB2312"/>
                <w:color w:val="000000"/>
                <w:kern w:val="0"/>
                <w:sz w:val="22"/>
                <w:szCs w:val="22"/>
                <w:lang w:bidi="ar"/>
              </w:rPr>
              <w:t>3.6.3</w:t>
            </w:r>
          </w:p>
        </w:tc>
        <w:tc>
          <w:tcPr>
            <w:tcW w:w="2496" w:type="pct"/>
            <w:noWrap w:val="0"/>
            <w:vAlign w:val="center"/>
          </w:tcPr>
          <w:p w14:paraId="34222BAF">
            <w:pPr>
              <w:widowControl/>
              <w:jc w:val="left"/>
              <w:textAlignment w:val="center"/>
              <w:rPr>
                <w:rFonts w:eastAsia="仿宋_GB2312"/>
                <w:color w:val="000000"/>
                <w:sz w:val="22"/>
                <w:szCs w:val="22"/>
              </w:rPr>
            </w:pPr>
            <w:r>
              <w:rPr>
                <w:rFonts w:eastAsia="仿宋_GB2312"/>
                <w:color w:val="000000"/>
                <w:kern w:val="0"/>
                <w:sz w:val="22"/>
                <w:szCs w:val="22"/>
                <w:lang w:bidi="ar"/>
              </w:rPr>
              <w:t>管理者代表至少应当履行下列职责:</w:t>
            </w:r>
            <w:r>
              <w:rPr>
                <w:rFonts w:eastAsia="仿宋_GB2312"/>
                <w:color w:val="000000"/>
                <w:kern w:val="0"/>
                <w:sz w:val="22"/>
                <w:szCs w:val="22"/>
                <w:lang w:bidi="ar"/>
              </w:rPr>
              <w:br w:type="textWrapping"/>
            </w:r>
            <w:r>
              <w:rPr>
                <w:rFonts w:eastAsia="仿宋_GB2312"/>
                <w:color w:val="000000"/>
                <w:kern w:val="0"/>
                <w:sz w:val="22"/>
                <w:szCs w:val="22"/>
                <w:lang w:bidi="ar"/>
              </w:rPr>
              <w:t>（一）贯彻执行相关法律、法规、规章、强制性标准以及经注册或者备案的产品技术要求；</w:t>
            </w:r>
            <w:r>
              <w:rPr>
                <w:rFonts w:eastAsia="仿宋_GB2312"/>
                <w:color w:val="000000"/>
                <w:kern w:val="0"/>
                <w:sz w:val="22"/>
                <w:szCs w:val="22"/>
                <w:lang w:bidi="ar"/>
              </w:rPr>
              <w:br w:type="textWrapping"/>
            </w:r>
            <w:r>
              <w:rPr>
                <w:rFonts w:eastAsia="仿宋_GB2312"/>
                <w:color w:val="000000"/>
                <w:kern w:val="0"/>
                <w:sz w:val="22"/>
                <w:szCs w:val="22"/>
                <w:lang w:bidi="ar"/>
              </w:rPr>
              <w:t>（二）建立健全与所生产产品相适应的质量管理体系并保持其有效运行；</w:t>
            </w:r>
            <w:r>
              <w:rPr>
                <w:rFonts w:eastAsia="仿宋_GB2312"/>
                <w:color w:val="000000"/>
                <w:kern w:val="0"/>
                <w:sz w:val="22"/>
                <w:szCs w:val="22"/>
                <w:lang w:bidi="ar"/>
              </w:rPr>
              <w:br w:type="textWrapping"/>
            </w:r>
            <w:r>
              <w:rPr>
                <w:rFonts w:eastAsia="仿宋_GB2312"/>
                <w:color w:val="000000"/>
                <w:kern w:val="0"/>
                <w:sz w:val="22"/>
                <w:szCs w:val="22"/>
                <w:lang w:bidi="ar"/>
              </w:rPr>
              <w:t>（三）确保产品符合放行要求，组织开展上市后产品质量信息收集工作</w:t>
            </w:r>
            <w:r>
              <w:rPr>
                <w:rFonts w:hint="eastAsia" w:eastAsia="仿宋_GB2312"/>
                <w:color w:val="000000"/>
                <w:kern w:val="0"/>
                <w:sz w:val="22"/>
                <w:szCs w:val="22"/>
                <w:lang w:eastAsia="zh-CN" w:bidi="ar"/>
              </w:rPr>
              <w:t>；</w:t>
            </w:r>
            <w:r>
              <w:rPr>
                <w:rFonts w:eastAsia="仿宋_GB2312"/>
                <w:color w:val="000000"/>
                <w:kern w:val="0"/>
                <w:sz w:val="22"/>
                <w:szCs w:val="22"/>
                <w:lang w:bidi="ar"/>
              </w:rPr>
              <w:br w:type="textWrapping"/>
            </w:r>
            <w:r>
              <w:rPr>
                <w:rFonts w:eastAsia="仿宋_GB2312"/>
                <w:color w:val="000000"/>
                <w:kern w:val="0"/>
                <w:sz w:val="22"/>
                <w:szCs w:val="22"/>
                <w:lang w:bidi="ar"/>
              </w:rPr>
              <w:t>（四）组织开展质量管理体系自查、不良事件监测以及召回等工作，定期向企业法定代表人、主要负责人报告质量管理体系的运行情况和改进需求；</w:t>
            </w:r>
            <w:r>
              <w:rPr>
                <w:rFonts w:eastAsia="仿宋_GB2312"/>
                <w:color w:val="000000"/>
                <w:kern w:val="0"/>
                <w:sz w:val="22"/>
                <w:szCs w:val="22"/>
                <w:lang w:bidi="ar"/>
              </w:rPr>
              <w:br w:type="textWrapping"/>
            </w:r>
            <w:r>
              <w:rPr>
                <w:rFonts w:eastAsia="仿宋_GB2312"/>
                <w:color w:val="000000"/>
                <w:kern w:val="0"/>
                <w:sz w:val="22"/>
                <w:szCs w:val="22"/>
                <w:lang w:bidi="ar"/>
              </w:rPr>
              <w:t>（五）配合药品监督管理部门开展监督检查，针对发现的问题，组织企业相关部门按照要求及时整改。</w:t>
            </w:r>
          </w:p>
        </w:tc>
        <w:tc>
          <w:tcPr>
            <w:tcW w:w="407" w:type="pct"/>
            <w:noWrap w:val="0"/>
            <w:vAlign w:val="center"/>
          </w:tcPr>
          <w:p w14:paraId="0D982F4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018B6A8">
            <w:pPr>
              <w:widowControl/>
              <w:jc w:val="center"/>
              <w:textAlignment w:val="center"/>
              <w:rPr>
                <w:rFonts w:eastAsia="仿宋_GB2312"/>
                <w:color w:val="000000"/>
                <w:sz w:val="22"/>
                <w:szCs w:val="22"/>
              </w:rPr>
            </w:pPr>
            <w:r>
              <w:rPr>
                <w:rFonts w:eastAsia="仿宋_GB2312"/>
                <w:color w:val="000000"/>
                <w:kern w:val="0"/>
                <w:sz w:val="22"/>
                <w:szCs w:val="22"/>
                <w:lang w:bidi="ar"/>
              </w:rPr>
              <w:t>《规范》第十九条</w:t>
            </w:r>
          </w:p>
        </w:tc>
      </w:tr>
      <w:tr w14:paraId="2CD9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continue"/>
            <w:noWrap w:val="0"/>
            <w:vAlign w:val="center"/>
          </w:tcPr>
          <w:p w14:paraId="7BFB6545">
            <w:pPr>
              <w:jc w:val="center"/>
              <w:rPr>
                <w:rFonts w:eastAsia="仿宋_GB2312"/>
                <w:color w:val="000000"/>
                <w:sz w:val="22"/>
                <w:szCs w:val="22"/>
              </w:rPr>
            </w:pPr>
          </w:p>
        </w:tc>
        <w:tc>
          <w:tcPr>
            <w:tcW w:w="326" w:type="pct"/>
            <w:noWrap w:val="0"/>
            <w:vAlign w:val="center"/>
          </w:tcPr>
          <w:p w14:paraId="23D5BCC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29</w:t>
            </w:r>
          </w:p>
        </w:tc>
        <w:tc>
          <w:tcPr>
            <w:tcW w:w="523" w:type="pct"/>
            <w:noWrap w:val="0"/>
            <w:vAlign w:val="center"/>
          </w:tcPr>
          <w:p w14:paraId="6F824D27">
            <w:pPr>
              <w:widowControl/>
              <w:jc w:val="center"/>
              <w:textAlignment w:val="center"/>
              <w:rPr>
                <w:rFonts w:eastAsia="仿宋_GB2312"/>
                <w:color w:val="000000"/>
                <w:sz w:val="22"/>
                <w:szCs w:val="22"/>
              </w:rPr>
            </w:pPr>
            <w:r>
              <w:rPr>
                <w:rFonts w:eastAsia="仿宋_GB2312"/>
                <w:color w:val="000000"/>
                <w:kern w:val="0"/>
                <w:sz w:val="22"/>
                <w:szCs w:val="22"/>
                <w:lang w:bidi="ar"/>
              </w:rPr>
              <w:t>3.7.1</w:t>
            </w:r>
          </w:p>
        </w:tc>
        <w:tc>
          <w:tcPr>
            <w:tcW w:w="2496" w:type="pct"/>
            <w:noWrap w:val="0"/>
            <w:vAlign w:val="center"/>
          </w:tcPr>
          <w:p w14:paraId="7987429F">
            <w:pPr>
              <w:widowControl/>
              <w:jc w:val="left"/>
              <w:textAlignment w:val="center"/>
              <w:rPr>
                <w:rFonts w:eastAsia="仿宋_GB2312"/>
                <w:color w:val="000000"/>
                <w:sz w:val="22"/>
                <w:szCs w:val="22"/>
              </w:rPr>
            </w:pPr>
            <w:r>
              <w:rPr>
                <w:rFonts w:eastAsia="仿宋_GB2312"/>
                <w:color w:val="000000"/>
                <w:kern w:val="0"/>
                <w:sz w:val="22"/>
                <w:szCs w:val="22"/>
                <w:lang w:bidi="ar"/>
              </w:rPr>
              <w:t>第二类、第三类医疗器械企业质量管理部门负责人应当具有医疗器械相关专业大学本科及以上学历或者中级及以上专业技术职称；第一类医疗器械企业质量管理部门负责人应当具有医疗器械相关专业大学专科及以上学历。质量管理部门负责人应当具备三年及以上医疗器械生产或者质量管理经验。</w:t>
            </w:r>
          </w:p>
        </w:tc>
        <w:tc>
          <w:tcPr>
            <w:tcW w:w="407" w:type="pct"/>
            <w:noWrap w:val="0"/>
            <w:vAlign w:val="center"/>
          </w:tcPr>
          <w:p w14:paraId="67A1BA5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48F1484">
            <w:pPr>
              <w:widowControl/>
              <w:jc w:val="center"/>
              <w:textAlignment w:val="center"/>
              <w:rPr>
                <w:rFonts w:eastAsia="仿宋_GB2312"/>
                <w:color w:val="000000"/>
                <w:sz w:val="22"/>
                <w:szCs w:val="22"/>
              </w:rPr>
            </w:pPr>
            <w:r>
              <w:rPr>
                <w:rFonts w:eastAsia="仿宋_GB2312"/>
                <w:color w:val="000000"/>
                <w:kern w:val="0"/>
                <w:sz w:val="22"/>
                <w:szCs w:val="22"/>
                <w:lang w:bidi="ar"/>
              </w:rPr>
              <w:t>《规范》第二十条</w:t>
            </w:r>
          </w:p>
        </w:tc>
      </w:tr>
      <w:tr w14:paraId="4557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0" w:hRule="atLeast"/>
          <w:jc w:val="center"/>
        </w:trPr>
        <w:tc>
          <w:tcPr>
            <w:tcW w:w="589" w:type="pct"/>
            <w:vMerge w:val="continue"/>
            <w:noWrap w:val="0"/>
            <w:vAlign w:val="center"/>
          </w:tcPr>
          <w:p w14:paraId="5D9FA63C">
            <w:pPr>
              <w:jc w:val="center"/>
              <w:rPr>
                <w:rFonts w:eastAsia="仿宋_GB2312"/>
                <w:color w:val="000000"/>
                <w:sz w:val="22"/>
                <w:szCs w:val="22"/>
              </w:rPr>
            </w:pPr>
          </w:p>
        </w:tc>
        <w:tc>
          <w:tcPr>
            <w:tcW w:w="326" w:type="pct"/>
            <w:noWrap w:val="0"/>
            <w:vAlign w:val="center"/>
          </w:tcPr>
          <w:p w14:paraId="5121BF7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30</w:t>
            </w:r>
          </w:p>
        </w:tc>
        <w:tc>
          <w:tcPr>
            <w:tcW w:w="523" w:type="pct"/>
            <w:noWrap w:val="0"/>
            <w:vAlign w:val="center"/>
          </w:tcPr>
          <w:p w14:paraId="7CAC9262">
            <w:pPr>
              <w:widowControl/>
              <w:jc w:val="center"/>
              <w:textAlignment w:val="center"/>
              <w:rPr>
                <w:rFonts w:eastAsia="仿宋_GB2312"/>
                <w:color w:val="000000"/>
                <w:sz w:val="22"/>
                <w:szCs w:val="22"/>
              </w:rPr>
            </w:pPr>
            <w:r>
              <w:rPr>
                <w:rFonts w:eastAsia="仿宋_GB2312"/>
                <w:color w:val="000000"/>
                <w:kern w:val="0"/>
                <w:sz w:val="22"/>
                <w:szCs w:val="22"/>
                <w:lang w:bidi="ar"/>
              </w:rPr>
              <w:t>3.7.2</w:t>
            </w:r>
          </w:p>
        </w:tc>
        <w:tc>
          <w:tcPr>
            <w:tcW w:w="2496" w:type="pct"/>
            <w:noWrap w:val="0"/>
            <w:vAlign w:val="center"/>
          </w:tcPr>
          <w:p w14:paraId="225C82FB">
            <w:pPr>
              <w:widowControl/>
              <w:jc w:val="left"/>
              <w:textAlignment w:val="center"/>
              <w:rPr>
                <w:rFonts w:eastAsia="仿宋_GB2312"/>
                <w:color w:val="000000"/>
                <w:sz w:val="22"/>
                <w:szCs w:val="22"/>
              </w:rPr>
            </w:pPr>
            <w:r>
              <w:rPr>
                <w:rFonts w:eastAsia="仿宋_GB2312"/>
                <w:color w:val="000000"/>
                <w:kern w:val="0"/>
                <w:sz w:val="22"/>
                <w:szCs w:val="22"/>
                <w:lang w:bidi="ar"/>
              </w:rPr>
              <w:t>质量管理部门负责人应当履行下列职责：</w:t>
            </w:r>
            <w:r>
              <w:rPr>
                <w:rFonts w:eastAsia="仿宋_GB2312"/>
                <w:color w:val="000000"/>
                <w:kern w:val="0"/>
                <w:sz w:val="22"/>
                <w:szCs w:val="22"/>
                <w:lang w:bidi="ar"/>
              </w:rPr>
              <w:br w:type="textWrapping"/>
            </w:r>
            <w:r>
              <w:rPr>
                <w:rFonts w:eastAsia="仿宋_GB2312"/>
                <w:color w:val="000000"/>
                <w:kern w:val="0"/>
                <w:sz w:val="22"/>
                <w:szCs w:val="22"/>
                <w:lang w:bidi="ar"/>
              </w:rPr>
              <w:t>（一）确保原材料和产品的生产、检验均符合相关法律、法规、规章、强制性标准以及经注册或者备案的产品技术要求；</w:t>
            </w:r>
            <w:r>
              <w:rPr>
                <w:rFonts w:eastAsia="仿宋_GB2312"/>
                <w:color w:val="000000"/>
                <w:kern w:val="0"/>
                <w:sz w:val="22"/>
                <w:szCs w:val="22"/>
                <w:lang w:bidi="ar"/>
              </w:rPr>
              <w:br w:type="textWrapping"/>
            </w:r>
            <w:r>
              <w:rPr>
                <w:rFonts w:eastAsia="仿宋_GB2312"/>
                <w:color w:val="000000"/>
                <w:kern w:val="0"/>
                <w:sz w:val="22"/>
                <w:szCs w:val="22"/>
                <w:lang w:bidi="ar"/>
              </w:rPr>
              <w:t>（二）组织产品放行审核；</w:t>
            </w:r>
            <w:r>
              <w:rPr>
                <w:rFonts w:eastAsia="仿宋_GB2312"/>
                <w:color w:val="000000"/>
                <w:kern w:val="0"/>
                <w:sz w:val="22"/>
                <w:szCs w:val="22"/>
                <w:lang w:bidi="ar"/>
              </w:rPr>
              <w:br w:type="textWrapping"/>
            </w:r>
            <w:r>
              <w:rPr>
                <w:rFonts w:eastAsia="仿宋_GB2312"/>
                <w:color w:val="000000"/>
                <w:kern w:val="0"/>
                <w:sz w:val="22"/>
                <w:szCs w:val="22"/>
                <w:lang w:bidi="ar"/>
              </w:rPr>
              <w:t>（三）确保生产过程中所有重大偏差和不合格情况得到调查并及时、有效处理；</w:t>
            </w:r>
            <w:r>
              <w:rPr>
                <w:rFonts w:eastAsia="仿宋_GB2312"/>
                <w:color w:val="000000"/>
                <w:kern w:val="0"/>
                <w:sz w:val="22"/>
                <w:szCs w:val="22"/>
                <w:lang w:bidi="ar"/>
              </w:rPr>
              <w:br w:type="textWrapping"/>
            </w:r>
            <w:r>
              <w:rPr>
                <w:rFonts w:eastAsia="仿宋_GB2312"/>
                <w:color w:val="000000"/>
                <w:kern w:val="0"/>
                <w:sz w:val="22"/>
                <w:szCs w:val="22"/>
                <w:lang w:bidi="ar"/>
              </w:rPr>
              <w:t>（四）组织上市后产品质量管理活动，确保所有与产品质量有关的退货、投诉、不良事件得到调查并及时、有效处理；</w:t>
            </w:r>
            <w:r>
              <w:rPr>
                <w:rFonts w:eastAsia="仿宋_GB2312"/>
                <w:color w:val="000000"/>
                <w:kern w:val="0"/>
                <w:sz w:val="22"/>
                <w:szCs w:val="22"/>
                <w:lang w:bidi="ar"/>
              </w:rPr>
              <w:br w:type="textWrapping"/>
            </w:r>
            <w:r>
              <w:rPr>
                <w:rFonts w:eastAsia="仿宋_GB2312"/>
                <w:color w:val="000000"/>
                <w:kern w:val="0"/>
                <w:sz w:val="22"/>
                <w:szCs w:val="22"/>
                <w:lang w:bidi="ar"/>
              </w:rPr>
              <w:t>（五）确保完成产品质量年度回顾分析；</w:t>
            </w:r>
            <w:r>
              <w:rPr>
                <w:rFonts w:eastAsia="仿宋_GB2312"/>
                <w:color w:val="000000"/>
                <w:kern w:val="0"/>
                <w:sz w:val="22"/>
                <w:szCs w:val="22"/>
                <w:lang w:bidi="ar"/>
              </w:rPr>
              <w:br w:type="textWrapping"/>
            </w:r>
            <w:r>
              <w:rPr>
                <w:rFonts w:eastAsia="仿宋_GB2312"/>
                <w:color w:val="000000"/>
                <w:kern w:val="0"/>
                <w:sz w:val="22"/>
                <w:szCs w:val="22"/>
                <w:lang w:bidi="ar"/>
              </w:rPr>
              <w:t>（六）确保本部门人员经过相关培训，掌握相关法规、理论知识和实际操作技能；</w:t>
            </w:r>
            <w:r>
              <w:rPr>
                <w:rFonts w:eastAsia="仿宋_GB2312"/>
                <w:color w:val="000000"/>
                <w:kern w:val="0"/>
                <w:sz w:val="22"/>
                <w:szCs w:val="22"/>
                <w:lang w:bidi="ar"/>
              </w:rPr>
              <w:br w:type="textWrapping"/>
            </w:r>
            <w:r>
              <w:rPr>
                <w:rFonts w:eastAsia="仿宋_GB2312"/>
                <w:color w:val="000000"/>
                <w:kern w:val="0"/>
                <w:sz w:val="22"/>
                <w:szCs w:val="22"/>
                <w:lang w:bidi="ar"/>
              </w:rPr>
              <w:t>（七）负责与产品质量有关的其他活动。</w:t>
            </w:r>
          </w:p>
        </w:tc>
        <w:tc>
          <w:tcPr>
            <w:tcW w:w="407" w:type="pct"/>
            <w:noWrap w:val="0"/>
            <w:vAlign w:val="center"/>
          </w:tcPr>
          <w:p w14:paraId="1C8FCD13">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7A85D4C">
            <w:pPr>
              <w:widowControl/>
              <w:jc w:val="center"/>
              <w:textAlignment w:val="center"/>
              <w:rPr>
                <w:rFonts w:eastAsia="仿宋_GB2312"/>
                <w:color w:val="000000"/>
                <w:sz w:val="22"/>
                <w:szCs w:val="22"/>
              </w:rPr>
            </w:pPr>
            <w:r>
              <w:rPr>
                <w:rFonts w:eastAsia="仿宋_GB2312"/>
                <w:color w:val="000000"/>
                <w:kern w:val="0"/>
                <w:sz w:val="22"/>
                <w:szCs w:val="22"/>
                <w:lang w:bidi="ar"/>
              </w:rPr>
              <w:t>《规范》第二十条</w:t>
            </w:r>
          </w:p>
        </w:tc>
      </w:tr>
      <w:tr w14:paraId="143D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9D86F37">
            <w:pPr>
              <w:jc w:val="center"/>
              <w:rPr>
                <w:rFonts w:eastAsia="仿宋_GB2312"/>
                <w:color w:val="000000"/>
                <w:sz w:val="22"/>
                <w:szCs w:val="22"/>
              </w:rPr>
            </w:pPr>
          </w:p>
        </w:tc>
        <w:tc>
          <w:tcPr>
            <w:tcW w:w="326" w:type="pct"/>
            <w:noWrap w:val="0"/>
            <w:vAlign w:val="center"/>
          </w:tcPr>
          <w:p w14:paraId="52AB33A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31</w:t>
            </w:r>
          </w:p>
        </w:tc>
        <w:tc>
          <w:tcPr>
            <w:tcW w:w="523" w:type="pct"/>
            <w:noWrap w:val="0"/>
            <w:vAlign w:val="center"/>
          </w:tcPr>
          <w:p w14:paraId="38B6092D">
            <w:pPr>
              <w:widowControl/>
              <w:jc w:val="center"/>
              <w:textAlignment w:val="center"/>
              <w:rPr>
                <w:rFonts w:eastAsia="仿宋_GB2312"/>
                <w:color w:val="000000"/>
                <w:sz w:val="22"/>
                <w:szCs w:val="22"/>
              </w:rPr>
            </w:pPr>
            <w:r>
              <w:rPr>
                <w:rFonts w:eastAsia="仿宋_GB2312"/>
                <w:color w:val="000000"/>
                <w:kern w:val="0"/>
                <w:sz w:val="22"/>
                <w:szCs w:val="22"/>
                <w:lang w:bidi="ar"/>
              </w:rPr>
              <w:t>3.8.1</w:t>
            </w:r>
          </w:p>
        </w:tc>
        <w:tc>
          <w:tcPr>
            <w:tcW w:w="2496" w:type="pct"/>
            <w:noWrap w:val="0"/>
            <w:vAlign w:val="center"/>
          </w:tcPr>
          <w:p w14:paraId="56413C58">
            <w:pPr>
              <w:widowControl/>
              <w:jc w:val="left"/>
              <w:textAlignment w:val="center"/>
              <w:rPr>
                <w:rFonts w:eastAsia="仿宋_GB2312"/>
                <w:color w:val="000000"/>
                <w:sz w:val="22"/>
                <w:szCs w:val="22"/>
              </w:rPr>
            </w:pPr>
            <w:r>
              <w:rPr>
                <w:rFonts w:eastAsia="仿宋_GB2312"/>
                <w:color w:val="000000"/>
                <w:kern w:val="0"/>
                <w:sz w:val="22"/>
                <w:szCs w:val="22"/>
                <w:lang w:bidi="ar"/>
              </w:rPr>
              <w:t>生产管理部门负责人应当具有医疗器械相关专业大学专科及以上学历，具备三年及以上医疗器械生产或者质量管理经验。</w:t>
            </w:r>
          </w:p>
        </w:tc>
        <w:tc>
          <w:tcPr>
            <w:tcW w:w="407" w:type="pct"/>
            <w:noWrap w:val="0"/>
            <w:vAlign w:val="center"/>
          </w:tcPr>
          <w:p w14:paraId="0EC4685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BFD97D5">
            <w:pPr>
              <w:widowControl/>
              <w:jc w:val="center"/>
              <w:textAlignment w:val="center"/>
              <w:rPr>
                <w:rFonts w:eastAsia="仿宋_GB2312"/>
                <w:color w:val="000000"/>
                <w:sz w:val="22"/>
                <w:szCs w:val="22"/>
              </w:rPr>
            </w:pPr>
            <w:r>
              <w:rPr>
                <w:rFonts w:eastAsia="仿宋_GB2312"/>
                <w:color w:val="000000"/>
                <w:kern w:val="0"/>
                <w:sz w:val="22"/>
                <w:szCs w:val="22"/>
                <w:lang w:bidi="ar"/>
              </w:rPr>
              <w:t>《规范》第二十一条</w:t>
            </w:r>
          </w:p>
        </w:tc>
      </w:tr>
      <w:tr w14:paraId="53C8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589" w:type="pct"/>
            <w:vMerge w:val="continue"/>
            <w:noWrap w:val="0"/>
            <w:vAlign w:val="center"/>
          </w:tcPr>
          <w:p w14:paraId="75DF049A">
            <w:pPr>
              <w:jc w:val="center"/>
              <w:rPr>
                <w:rFonts w:eastAsia="仿宋_GB2312"/>
                <w:color w:val="000000"/>
                <w:sz w:val="22"/>
                <w:szCs w:val="22"/>
              </w:rPr>
            </w:pPr>
          </w:p>
        </w:tc>
        <w:tc>
          <w:tcPr>
            <w:tcW w:w="326" w:type="pct"/>
            <w:noWrap w:val="0"/>
            <w:vAlign w:val="center"/>
          </w:tcPr>
          <w:p w14:paraId="1A51FA0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32</w:t>
            </w:r>
          </w:p>
        </w:tc>
        <w:tc>
          <w:tcPr>
            <w:tcW w:w="523" w:type="pct"/>
            <w:noWrap w:val="0"/>
            <w:vAlign w:val="center"/>
          </w:tcPr>
          <w:p w14:paraId="15BF0345">
            <w:pPr>
              <w:widowControl/>
              <w:jc w:val="center"/>
              <w:textAlignment w:val="center"/>
              <w:rPr>
                <w:rFonts w:eastAsia="仿宋_GB2312"/>
                <w:color w:val="000000"/>
                <w:sz w:val="22"/>
                <w:szCs w:val="22"/>
              </w:rPr>
            </w:pPr>
            <w:r>
              <w:rPr>
                <w:rFonts w:eastAsia="仿宋_GB2312"/>
                <w:color w:val="000000"/>
                <w:kern w:val="0"/>
                <w:sz w:val="22"/>
                <w:szCs w:val="22"/>
                <w:lang w:bidi="ar"/>
              </w:rPr>
              <w:t>3.8.2</w:t>
            </w:r>
          </w:p>
        </w:tc>
        <w:tc>
          <w:tcPr>
            <w:tcW w:w="2496" w:type="pct"/>
            <w:noWrap w:val="0"/>
            <w:vAlign w:val="center"/>
          </w:tcPr>
          <w:p w14:paraId="5344B6E8">
            <w:pPr>
              <w:widowControl/>
              <w:jc w:val="left"/>
              <w:textAlignment w:val="center"/>
              <w:rPr>
                <w:rFonts w:eastAsia="仿宋_GB2312"/>
                <w:color w:val="000000"/>
                <w:sz w:val="22"/>
                <w:szCs w:val="22"/>
              </w:rPr>
            </w:pPr>
            <w:r>
              <w:rPr>
                <w:rFonts w:eastAsia="仿宋_GB2312"/>
                <w:color w:val="000000"/>
                <w:kern w:val="0"/>
                <w:sz w:val="22"/>
                <w:szCs w:val="22"/>
                <w:lang w:bidi="ar"/>
              </w:rPr>
              <w:t>生产管理部门负责人应当履行下列职责：</w:t>
            </w:r>
            <w:r>
              <w:rPr>
                <w:rFonts w:eastAsia="仿宋_GB2312"/>
                <w:color w:val="000000"/>
                <w:kern w:val="0"/>
                <w:sz w:val="22"/>
                <w:szCs w:val="22"/>
                <w:lang w:bidi="ar"/>
              </w:rPr>
              <w:br w:type="textWrapping"/>
            </w:r>
            <w:r>
              <w:rPr>
                <w:rFonts w:eastAsia="仿宋_GB2312"/>
                <w:color w:val="000000"/>
                <w:kern w:val="0"/>
                <w:sz w:val="22"/>
                <w:szCs w:val="22"/>
                <w:lang w:bidi="ar"/>
              </w:rPr>
              <w:t>（一）确保按照生产工艺规程、作业指导书等组织生产；</w:t>
            </w:r>
            <w:r>
              <w:rPr>
                <w:rFonts w:eastAsia="仿宋_GB2312"/>
                <w:color w:val="000000"/>
                <w:kern w:val="0"/>
                <w:sz w:val="22"/>
                <w:szCs w:val="22"/>
                <w:lang w:bidi="ar"/>
              </w:rPr>
              <w:br w:type="textWrapping"/>
            </w:r>
            <w:r>
              <w:rPr>
                <w:rFonts w:eastAsia="仿宋_GB2312"/>
                <w:color w:val="000000"/>
                <w:kern w:val="0"/>
                <w:sz w:val="22"/>
                <w:szCs w:val="22"/>
                <w:lang w:bidi="ar"/>
              </w:rPr>
              <w:t>（二）确保生产记录真实、准确、完整、及时和可追溯；</w:t>
            </w:r>
            <w:r>
              <w:rPr>
                <w:rFonts w:eastAsia="仿宋_GB2312"/>
                <w:color w:val="000000"/>
                <w:kern w:val="0"/>
                <w:sz w:val="22"/>
                <w:szCs w:val="22"/>
                <w:lang w:bidi="ar"/>
              </w:rPr>
              <w:br w:type="textWrapping"/>
            </w:r>
            <w:r>
              <w:rPr>
                <w:rFonts w:eastAsia="仿宋_GB2312"/>
                <w:color w:val="000000"/>
                <w:kern w:val="0"/>
                <w:sz w:val="22"/>
                <w:szCs w:val="22"/>
                <w:lang w:bidi="ar"/>
              </w:rPr>
              <w:t>（三）组织实施厂房设施、设备的维护保养，确保其保持良好的运行状态；</w:t>
            </w:r>
            <w:r>
              <w:rPr>
                <w:rFonts w:eastAsia="仿宋_GB2312"/>
                <w:color w:val="000000"/>
                <w:kern w:val="0"/>
                <w:sz w:val="22"/>
                <w:szCs w:val="22"/>
                <w:lang w:bidi="ar"/>
              </w:rPr>
              <w:br w:type="textWrapping"/>
            </w:r>
            <w:r>
              <w:rPr>
                <w:rFonts w:eastAsia="仿宋_GB2312"/>
                <w:color w:val="000000"/>
                <w:kern w:val="0"/>
                <w:sz w:val="22"/>
                <w:szCs w:val="22"/>
                <w:lang w:bidi="ar"/>
              </w:rPr>
              <w:t>（四）确保本部门的员工经过培训，具备与其岗位要求相适应的知识和实际操作技能；</w:t>
            </w:r>
            <w:r>
              <w:rPr>
                <w:rFonts w:eastAsia="仿宋_GB2312"/>
                <w:color w:val="000000"/>
                <w:kern w:val="0"/>
                <w:sz w:val="22"/>
                <w:szCs w:val="22"/>
                <w:lang w:bidi="ar"/>
              </w:rPr>
              <w:br w:type="textWrapping"/>
            </w:r>
            <w:r>
              <w:rPr>
                <w:rFonts w:eastAsia="仿宋_GB2312"/>
                <w:color w:val="000000"/>
                <w:kern w:val="0"/>
                <w:sz w:val="22"/>
                <w:szCs w:val="22"/>
                <w:lang w:bidi="ar"/>
              </w:rPr>
              <w:t>（五）负责与产品生产有关的其他活动。</w:t>
            </w:r>
          </w:p>
        </w:tc>
        <w:tc>
          <w:tcPr>
            <w:tcW w:w="407" w:type="pct"/>
            <w:noWrap w:val="0"/>
            <w:vAlign w:val="center"/>
          </w:tcPr>
          <w:p w14:paraId="4A9C334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EB0B0E8">
            <w:pPr>
              <w:widowControl/>
              <w:jc w:val="center"/>
              <w:textAlignment w:val="center"/>
              <w:rPr>
                <w:rFonts w:eastAsia="仿宋_GB2312"/>
                <w:color w:val="000000"/>
                <w:sz w:val="22"/>
                <w:szCs w:val="22"/>
              </w:rPr>
            </w:pPr>
            <w:r>
              <w:rPr>
                <w:rFonts w:eastAsia="仿宋_GB2312"/>
                <w:color w:val="000000"/>
                <w:kern w:val="0"/>
                <w:sz w:val="22"/>
                <w:szCs w:val="22"/>
                <w:lang w:bidi="ar"/>
              </w:rPr>
              <w:t>《规范》第二十一条</w:t>
            </w:r>
          </w:p>
        </w:tc>
      </w:tr>
      <w:tr w14:paraId="0C8D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7B66ADD0">
            <w:pPr>
              <w:jc w:val="center"/>
              <w:rPr>
                <w:rFonts w:eastAsia="仿宋_GB2312"/>
                <w:color w:val="000000"/>
                <w:sz w:val="22"/>
                <w:szCs w:val="22"/>
              </w:rPr>
            </w:pPr>
          </w:p>
        </w:tc>
        <w:tc>
          <w:tcPr>
            <w:tcW w:w="326" w:type="pct"/>
            <w:noWrap w:val="0"/>
            <w:vAlign w:val="center"/>
          </w:tcPr>
          <w:p w14:paraId="6FC05F7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33</w:t>
            </w:r>
          </w:p>
        </w:tc>
        <w:tc>
          <w:tcPr>
            <w:tcW w:w="523" w:type="pct"/>
            <w:noWrap w:val="0"/>
            <w:vAlign w:val="center"/>
          </w:tcPr>
          <w:p w14:paraId="090CBFB2">
            <w:pPr>
              <w:widowControl/>
              <w:jc w:val="center"/>
              <w:textAlignment w:val="center"/>
              <w:rPr>
                <w:rFonts w:eastAsia="仿宋_GB2312"/>
                <w:color w:val="000000"/>
                <w:sz w:val="22"/>
                <w:szCs w:val="22"/>
              </w:rPr>
            </w:pPr>
            <w:r>
              <w:rPr>
                <w:rFonts w:eastAsia="仿宋_GB2312"/>
                <w:color w:val="000000"/>
                <w:kern w:val="0"/>
                <w:sz w:val="22"/>
                <w:szCs w:val="22"/>
                <w:lang w:bidi="ar"/>
              </w:rPr>
              <w:t>3.9.1</w:t>
            </w:r>
          </w:p>
        </w:tc>
        <w:tc>
          <w:tcPr>
            <w:tcW w:w="2496" w:type="pct"/>
            <w:noWrap w:val="0"/>
            <w:vAlign w:val="center"/>
          </w:tcPr>
          <w:p w14:paraId="1295823C">
            <w:pPr>
              <w:widowControl/>
              <w:jc w:val="left"/>
              <w:textAlignment w:val="center"/>
              <w:rPr>
                <w:rFonts w:eastAsia="仿宋_GB2312"/>
                <w:color w:val="000000"/>
                <w:sz w:val="22"/>
                <w:szCs w:val="22"/>
              </w:rPr>
            </w:pPr>
            <w:r>
              <w:rPr>
                <w:rFonts w:eastAsia="仿宋_GB2312"/>
                <w:color w:val="000000"/>
                <w:kern w:val="0"/>
                <w:sz w:val="22"/>
                <w:szCs w:val="22"/>
                <w:lang w:bidi="ar"/>
              </w:rPr>
              <w:t>放行审核人应当是质量管理部门人员或者其他更高层级质量管理人员，应当经过与产品放行有关的培训，具备产品放行审核能力，能独立承担产品放行审核职责。</w:t>
            </w:r>
          </w:p>
        </w:tc>
        <w:tc>
          <w:tcPr>
            <w:tcW w:w="407" w:type="pct"/>
            <w:noWrap w:val="0"/>
            <w:vAlign w:val="center"/>
          </w:tcPr>
          <w:p w14:paraId="3A92C94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4BE6D46">
            <w:pPr>
              <w:widowControl/>
              <w:jc w:val="center"/>
              <w:textAlignment w:val="center"/>
              <w:rPr>
                <w:rFonts w:eastAsia="仿宋_GB2312"/>
                <w:color w:val="000000"/>
                <w:sz w:val="22"/>
                <w:szCs w:val="22"/>
              </w:rPr>
            </w:pPr>
            <w:r>
              <w:rPr>
                <w:rFonts w:eastAsia="仿宋_GB2312"/>
                <w:color w:val="000000"/>
                <w:kern w:val="0"/>
                <w:sz w:val="22"/>
                <w:szCs w:val="22"/>
                <w:lang w:bidi="ar"/>
              </w:rPr>
              <w:t>《规范》第二十二条</w:t>
            </w:r>
          </w:p>
        </w:tc>
      </w:tr>
      <w:tr w14:paraId="1748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continue"/>
            <w:noWrap w:val="0"/>
            <w:vAlign w:val="center"/>
          </w:tcPr>
          <w:p w14:paraId="6D563BD1">
            <w:pPr>
              <w:jc w:val="center"/>
              <w:rPr>
                <w:rFonts w:eastAsia="仿宋_GB2312"/>
                <w:color w:val="000000"/>
                <w:sz w:val="22"/>
                <w:szCs w:val="22"/>
              </w:rPr>
            </w:pPr>
          </w:p>
        </w:tc>
        <w:tc>
          <w:tcPr>
            <w:tcW w:w="326" w:type="pct"/>
            <w:noWrap w:val="0"/>
            <w:vAlign w:val="center"/>
          </w:tcPr>
          <w:p w14:paraId="342D5A8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34</w:t>
            </w:r>
          </w:p>
        </w:tc>
        <w:tc>
          <w:tcPr>
            <w:tcW w:w="523" w:type="pct"/>
            <w:noWrap w:val="0"/>
            <w:vAlign w:val="center"/>
          </w:tcPr>
          <w:p w14:paraId="47705004">
            <w:pPr>
              <w:widowControl/>
              <w:jc w:val="center"/>
              <w:textAlignment w:val="center"/>
              <w:rPr>
                <w:rFonts w:eastAsia="仿宋_GB2312"/>
                <w:color w:val="000000"/>
                <w:sz w:val="22"/>
                <w:szCs w:val="22"/>
              </w:rPr>
            </w:pPr>
            <w:r>
              <w:rPr>
                <w:rFonts w:eastAsia="仿宋_GB2312"/>
                <w:color w:val="000000"/>
                <w:kern w:val="0"/>
                <w:sz w:val="22"/>
                <w:szCs w:val="22"/>
                <w:lang w:bidi="ar"/>
              </w:rPr>
              <w:t>3.10.1</w:t>
            </w:r>
          </w:p>
        </w:tc>
        <w:tc>
          <w:tcPr>
            <w:tcW w:w="2496" w:type="pct"/>
            <w:noWrap w:val="0"/>
            <w:vAlign w:val="center"/>
          </w:tcPr>
          <w:p w14:paraId="39F65219">
            <w:pPr>
              <w:widowControl/>
              <w:jc w:val="left"/>
              <w:textAlignment w:val="center"/>
              <w:rPr>
                <w:rFonts w:eastAsia="仿宋_GB2312"/>
                <w:color w:val="000000"/>
                <w:sz w:val="22"/>
                <w:szCs w:val="22"/>
              </w:rPr>
            </w:pPr>
            <w:r>
              <w:rPr>
                <w:rFonts w:eastAsia="仿宋_GB2312"/>
                <w:color w:val="000000"/>
                <w:kern w:val="0"/>
                <w:sz w:val="22"/>
                <w:szCs w:val="22"/>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407" w:type="pct"/>
            <w:noWrap w:val="0"/>
            <w:vAlign w:val="center"/>
          </w:tcPr>
          <w:p w14:paraId="5C5123CF">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FD04D3E">
            <w:pPr>
              <w:widowControl/>
              <w:jc w:val="center"/>
              <w:textAlignment w:val="center"/>
              <w:rPr>
                <w:rFonts w:eastAsia="仿宋_GB2312"/>
                <w:color w:val="000000"/>
                <w:sz w:val="22"/>
                <w:szCs w:val="22"/>
              </w:rPr>
            </w:pPr>
            <w:r>
              <w:rPr>
                <w:rFonts w:eastAsia="仿宋_GB2312"/>
                <w:color w:val="000000"/>
                <w:kern w:val="0"/>
                <w:sz w:val="22"/>
                <w:szCs w:val="22"/>
                <w:lang w:bidi="ar"/>
              </w:rPr>
              <w:t>《规范》第二十三条</w:t>
            </w:r>
          </w:p>
        </w:tc>
      </w:tr>
      <w:tr w14:paraId="4C83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9C00E60">
            <w:pPr>
              <w:jc w:val="center"/>
              <w:rPr>
                <w:rFonts w:eastAsia="仿宋_GB2312"/>
                <w:color w:val="000000"/>
                <w:sz w:val="22"/>
                <w:szCs w:val="22"/>
              </w:rPr>
            </w:pPr>
          </w:p>
        </w:tc>
        <w:tc>
          <w:tcPr>
            <w:tcW w:w="326" w:type="pct"/>
            <w:noWrap w:val="0"/>
            <w:vAlign w:val="center"/>
          </w:tcPr>
          <w:p w14:paraId="1F80D81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35</w:t>
            </w:r>
          </w:p>
        </w:tc>
        <w:tc>
          <w:tcPr>
            <w:tcW w:w="523" w:type="pct"/>
            <w:noWrap w:val="0"/>
            <w:vAlign w:val="center"/>
          </w:tcPr>
          <w:p w14:paraId="0259518D">
            <w:pPr>
              <w:widowControl/>
              <w:jc w:val="center"/>
              <w:textAlignment w:val="center"/>
              <w:rPr>
                <w:rFonts w:eastAsia="仿宋_GB2312"/>
                <w:color w:val="000000"/>
                <w:sz w:val="22"/>
                <w:szCs w:val="22"/>
              </w:rPr>
            </w:pPr>
            <w:r>
              <w:rPr>
                <w:rFonts w:eastAsia="仿宋_GB2312"/>
                <w:color w:val="000000"/>
                <w:kern w:val="0"/>
                <w:sz w:val="22"/>
                <w:szCs w:val="22"/>
                <w:lang w:bidi="ar"/>
              </w:rPr>
              <w:t>3.10.2</w:t>
            </w:r>
          </w:p>
        </w:tc>
        <w:tc>
          <w:tcPr>
            <w:tcW w:w="2496" w:type="pct"/>
            <w:noWrap w:val="0"/>
            <w:vAlign w:val="center"/>
          </w:tcPr>
          <w:p w14:paraId="028618C1">
            <w:pPr>
              <w:widowControl/>
              <w:jc w:val="left"/>
              <w:textAlignment w:val="center"/>
              <w:rPr>
                <w:rFonts w:eastAsia="仿宋_GB2312"/>
                <w:color w:val="000000"/>
                <w:sz w:val="22"/>
                <w:szCs w:val="22"/>
              </w:rPr>
            </w:pPr>
            <w:r>
              <w:rPr>
                <w:rFonts w:eastAsia="仿宋_GB2312"/>
                <w:color w:val="000000"/>
                <w:kern w:val="0"/>
                <w:sz w:val="22"/>
                <w:szCs w:val="22"/>
                <w:lang w:bidi="ar"/>
              </w:rPr>
              <w:t>企业应当指定部门或者专人负责培训管理工作，建立培训制度，制定培训计划，保留培训记录，并对培训实际效果进行评估。</w:t>
            </w:r>
          </w:p>
        </w:tc>
        <w:tc>
          <w:tcPr>
            <w:tcW w:w="407" w:type="pct"/>
            <w:noWrap w:val="0"/>
            <w:vAlign w:val="center"/>
          </w:tcPr>
          <w:p w14:paraId="1885B1F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D55B3E7">
            <w:pPr>
              <w:widowControl/>
              <w:jc w:val="center"/>
              <w:textAlignment w:val="center"/>
              <w:rPr>
                <w:rFonts w:eastAsia="仿宋_GB2312"/>
                <w:color w:val="000000"/>
                <w:sz w:val="22"/>
                <w:szCs w:val="22"/>
              </w:rPr>
            </w:pPr>
            <w:r>
              <w:rPr>
                <w:rFonts w:eastAsia="仿宋_GB2312"/>
                <w:color w:val="000000"/>
                <w:kern w:val="0"/>
                <w:sz w:val="22"/>
                <w:szCs w:val="22"/>
                <w:lang w:bidi="ar"/>
              </w:rPr>
              <w:t>《规范》第二十三条</w:t>
            </w:r>
          </w:p>
        </w:tc>
      </w:tr>
      <w:tr w14:paraId="0EAA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CF9214D">
            <w:pPr>
              <w:jc w:val="center"/>
              <w:rPr>
                <w:rFonts w:eastAsia="仿宋_GB2312"/>
                <w:color w:val="000000"/>
                <w:sz w:val="22"/>
                <w:szCs w:val="22"/>
              </w:rPr>
            </w:pPr>
          </w:p>
        </w:tc>
        <w:tc>
          <w:tcPr>
            <w:tcW w:w="326" w:type="pct"/>
            <w:noWrap w:val="0"/>
            <w:vAlign w:val="center"/>
          </w:tcPr>
          <w:p w14:paraId="58B3051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36</w:t>
            </w:r>
          </w:p>
        </w:tc>
        <w:tc>
          <w:tcPr>
            <w:tcW w:w="523" w:type="pct"/>
            <w:noWrap w:val="0"/>
            <w:vAlign w:val="center"/>
          </w:tcPr>
          <w:p w14:paraId="1432DE59">
            <w:pPr>
              <w:widowControl/>
              <w:jc w:val="center"/>
              <w:textAlignment w:val="center"/>
              <w:rPr>
                <w:rFonts w:eastAsia="仿宋_GB2312"/>
                <w:kern w:val="0"/>
                <w:sz w:val="22"/>
                <w:szCs w:val="22"/>
                <w:lang w:bidi="ar"/>
              </w:rPr>
            </w:pPr>
            <w:r>
              <w:rPr>
                <w:rFonts w:eastAsia="仿宋_GB2312"/>
                <w:kern w:val="0"/>
                <w:sz w:val="22"/>
                <w:szCs w:val="22"/>
                <w:lang w:bidi="ar"/>
              </w:rPr>
              <w:t>3.11.1</w:t>
            </w:r>
          </w:p>
        </w:tc>
        <w:tc>
          <w:tcPr>
            <w:tcW w:w="2496" w:type="pct"/>
            <w:noWrap w:val="0"/>
            <w:vAlign w:val="center"/>
          </w:tcPr>
          <w:p w14:paraId="4B8DBCCB">
            <w:pPr>
              <w:widowControl/>
              <w:jc w:val="left"/>
              <w:textAlignment w:val="center"/>
              <w:rPr>
                <w:rFonts w:eastAsia="仿宋_GB2312"/>
                <w:kern w:val="0"/>
                <w:sz w:val="22"/>
                <w:szCs w:val="22"/>
                <w:lang w:bidi="ar"/>
              </w:rPr>
            </w:pPr>
            <w:r>
              <w:rPr>
                <w:rFonts w:eastAsia="仿宋_GB2312"/>
                <w:kern w:val="0"/>
                <w:sz w:val="22"/>
                <w:szCs w:val="22"/>
                <w:lang w:bidi="ar"/>
              </w:rPr>
              <w:t>对从事影响产品质量工作的人员，企业应当根据生产产品特性对其健康进行管理，并建立健康档案。</w:t>
            </w:r>
          </w:p>
        </w:tc>
        <w:tc>
          <w:tcPr>
            <w:tcW w:w="407" w:type="pct"/>
            <w:noWrap w:val="0"/>
            <w:vAlign w:val="center"/>
          </w:tcPr>
          <w:p w14:paraId="65195892">
            <w:pPr>
              <w:widowControl/>
              <w:jc w:val="center"/>
              <w:textAlignment w:val="center"/>
              <w:rPr>
                <w:rFonts w:eastAsia="仿宋_GB2312"/>
                <w:kern w:val="0"/>
                <w:sz w:val="22"/>
                <w:szCs w:val="22"/>
                <w:lang w:bidi="ar"/>
              </w:rPr>
            </w:pPr>
            <w:r>
              <w:rPr>
                <w:rFonts w:eastAsia="仿宋_GB2312"/>
                <w:kern w:val="0"/>
                <w:sz w:val="22"/>
                <w:szCs w:val="22"/>
                <w:lang w:bidi="ar"/>
              </w:rPr>
              <w:t>*</w:t>
            </w:r>
          </w:p>
        </w:tc>
        <w:tc>
          <w:tcPr>
            <w:tcW w:w="657" w:type="pct"/>
            <w:noWrap w:val="0"/>
            <w:vAlign w:val="center"/>
          </w:tcPr>
          <w:p w14:paraId="71A084DE">
            <w:pPr>
              <w:widowControl/>
              <w:jc w:val="center"/>
              <w:textAlignment w:val="center"/>
              <w:rPr>
                <w:rFonts w:eastAsia="仿宋_GB2312"/>
                <w:kern w:val="0"/>
                <w:sz w:val="22"/>
                <w:szCs w:val="22"/>
                <w:lang w:bidi="ar"/>
              </w:rPr>
            </w:pPr>
            <w:r>
              <w:rPr>
                <w:rFonts w:eastAsia="仿宋_GB2312"/>
                <w:kern w:val="0"/>
                <w:sz w:val="22"/>
                <w:szCs w:val="22"/>
                <w:lang w:bidi="ar"/>
              </w:rPr>
              <w:t>《规范》第二十四条</w:t>
            </w:r>
          </w:p>
        </w:tc>
      </w:tr>
      <w:tr w14:paraId="2758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restart"/>
            <w:noWrap w:val="0"/>
            <w:vAlign w:val="center"/>
          </w:tcPr>
          <w:p w14:paraId="4A677B3A">
            <w:pPr>
              <w:widowControl/>
              <w:jc w:val="center"/>
              <w:textAlignment w:val="center"/>
              <w:rPr>
                <w:rFonts w:eastAsia="仿宋_GB2312"/>
                <w:color w:val="000000"/>
                <w:sz w:val="22"/>
                <w:szCs w:val="22"/>
              </w:rPr>
            </w:pPr>
            <w:r>
              <w:rPr>
                <w:rFonts w:eastAsia="仿宋_GB2312"/>
                <w:color w:val="000000"/>
                <w:kern w:val="0"/>
                <w:sz w:val="22"/>
                <w:szCs w:val="22"/>
                <w:lang w:bidi="ar"/>
              </w:rPr>
              <w:t>第四章 厂房与设施</w:t>
            </w:r>
          </w:p>
        </w:tc>
        <w:tc>
          <w:tcPr>
            <w:tcW w:w="326" w:type="pct"/>
            <w:noWrap w:val="0"/>
            <w:vAlign w:val="center"/>
          </w:tcPr>
          <w:p w14:paraId="5ABB07E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37</w:t>
            </w:r>
          </w:p>
        </w:tc>
        <w:tc>
          <w:tcPr>
            <w:tcW w:w="523" w:type="pct"/>
            <w:noWrap w:val="0"/>
            <w:vAlign w:val="center"/>
          </w:tcPr>
          <w:p w14:paraId="3501CD7F">
            <w:pPr>
              <w:widowControl/>
              <w:jc w:val="center"/>
              <w:textAlignment w:val="center"/>
              <w:rPr>
                <w:rFonts w:eastAsia="仿宋_GB2312"/>
                <w:color w:val="000000"/>
                <w:sz w:val="22"/>
                <w:szCs w:val="22"/>
              </w:rPr>
            </w:pPr>
            <w:r>
              <w:rPr>
                <w:rFonts w:eastAsia="仿宋_GB2312"/>
                <w:color w:val="000000"/>
                <w:kern w:val="0"/>
                <w:sz w:val="22"/>
                <w:szCs w:val="22"/>
                <w:lang w:bidi="ar"/>
              </w:rPr>
              <w:t>4.1.1</w:t>
            </w:r>
          </w:p>
        </w:tc>
        <w:tc>
          <w:tcPr>
            <w:tcW w:w="2496" w:type="pct"/>
            <w:noWrap w:val="0"/>
            <w:vAlign w:val="center"/>
          </w:tcPr>
          <w:p w14:paraId="6B8E208B">
            <w:pPr>
              <w:widowControl/>
              <w:jc w:val="left"/>
              <w:textAlignment w:val="center"/>
              <w:rPr>
                <w:rFonts w:eastAsia="仿宋_GB2312"/>
                <w:color w:val="000000"/>
                <w:sz w:val="22"/>
                <w:szCs w:val="22"/>
              </w:rPr>
            </w:pPr>
            <w:r>
              <w:rPr>
                <w:rFonts w:eastAsia="仿宋_GB2312"/>
                <w:color w:val="000000"/>
                <w:kern w:val="0"/>
                <w:sz w:val="22"/>
                <w:szCs w:val="22"/>
                <w:lang w:bidi="ar"/>
              </w:rPr>
              <w:t>厂房的选址、设计、布局、建造、改造和维护应当符合医疗器械生产要求，能够最大限度地避免混淆和差错，便于清洁、操作和维护。</w:t>
            </w:r>
          </w:p>
        </w:tc>
        <w:tc>
          <w:tcPr>
            <w:tcW w:w="407" w:type="pct"/>
            <w:noWrap w:val="0"/>
            <w:vAlign w:val="center"/>
          </w:tcPr>
          <w:p w14:paraId="71C74EA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1B6F519">
            <w:pPr>
              <w:widowControl/>
              <w:jc w:val="center"/>
              <w:textAlignment w:val="center"/>
              <w:rPr>
                <w:rFonts w:eastAsia="仿宋_GB2312"/>
                <w:color w:val="000000"/>
                <w:sz w:val="22"/>
                <w:szCs w:val="22"/>
              </w:rPr>
            </w:pPr>
            <w:r>
              <w:rPr>
                <w:rFonts w:eastAsia="仿宋_GB2312"/>
                <w:color w:val="000000"/>
                <w:kern w:val="0"/>
                <w:sz w:val="22"/>
                <w:szCs w:val="22"/>
                <w:lang w:bidi="ar"/>
              </w:rPr>
              <w:t>《规范》第二十五条</w:t>
            </w:r>
          </w:p>
        </w:tc>
      </w:tr>
      <w:tr w14:paraId="086A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F9BBF69">
            <w:pPr>
              <w:jc w:val="center"/>
              <w:rPr>
                <w:rFonts w:eastAsia="仿宋_GB2312"/>
                <w:color w:val="000000"/>
                <w:sz w:val="22"/>
                <w:szCs w:val="22"/>
              </w:rPr>
            </w:pPr>
          </w:p>
        </w:tc>
        <w:tc>
          <w:tcPr>
            <w:tcW w:w="326" w:type="pct"/>
            <w:noWrap w:val="0"/>
            <w:vAlign w:val="center"/>
          </w:tcPr>
          <w:p w14:paraId="2F42253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38</w:t>
            </w:r>
          </w:p>
        </w:tc>
        <w:tc>
          <w:tcPr>
            <w:tcW w:w="523" w:type="pct"/>
            <w:noWrap w:val="0"/>
            <w:vAlign w:val="center"/>
          </w:tcPr>
          <w:p w14:paraId="0A65D582">
            <w:pPr>
              <w:widowControl/>
              <w:jc w:val="center"/>
              <w:textAlignment w:val="center"/>
              <w:rPr>
                <w:rFonts w:eastAsia="仿宋_GB2312"/>
                <w:color w:val="000000"/>
                <w:sz w:val="22"/>
                <w:szCs w:val="22"/>
              </w:rPr>
            </w:pPr>
            <w:r>
              <w:rPr>
                <w:rFonts w:eastAsia="仿宋_GB2312"/>
                <w:color w:val="000000"/>
                <w:kern w:val="0"/>
                <w:sz w:val="22"/>
                <w:szCs w:val="22"/>
                <w:lang w:bidi="ar"/>
              </w:rPr>
              <w:t>4.2.1</w:t>
            </w:r>
          </w:p>
        </w:tc>
        <w:tc>
          <w:tcPr>
            <w:tcW w:w="2496" w:type="pct"/>
            <w:noWrap w:val="0"/>
            <w:vAlign w:val="center"/>
          </w:tcPr>
          <w:p w14:paraId="78E06A55">
            <w:pPr>
              <w:widowControl/>
              <w:jc w:val="left"/>
              <w:textAlignment w:val="center"/>
              <w:rPr>
                <w:rFonts w:eastAsia="仿宋_GB2312"/>
                <w:color w:val="000000"/>
                <w:sz w:val="22"/>
                <w:szCs w:val="22"/>
              </w:rPr>
            </w:pPr>
            <w:r>
              <w:rPr>
                <w:rFonts w:eastAsia="仿宋_GB2312"/>
                <w:color w:val="000000"/>
                <w:kern w:val="0"/>
                <w:sz w:val="22"/>
                <w:szCs w:val="22"/>
                <w:lang w:bidi="ar"/>
              </w:rPr>
              <w:t>企业应当根据所生产产品特性、工艺流程合理设计、布局和使用厂房与设施。</w:t>
            </w:r>
          </w:p>
        </w:tc>
        <w:tc>
          <w:tcPr>
            <w:tcW w:w="407" w:type="pct"/>
            <w:noWrap w:val="0"/>
            <w:vAlign w:val="center"/>
          </w:tcPr>
          <w:p w14:paraId="6C6EBA07">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022EE4B">
            <w:pPr>
              <w:widowControl/>
              <w:jc w:val="center"/>
              <w:textAlignment w:val="center"/>
              <w:rPr>
                <w:rFonts w:eastAsia="仿宋_GB2312"/>
                <w:color w:val="000000"/>
                <w:sz w:val="22"/>
                <w:szCs w:val="22"/>
              </w:rPr>
            </w:pPr>
            <w:r>
              <w:rPr>
                <w:rFonts w:eastAsia="仿宋_GB2312"/>
                <w:color w:val="000000"/>
                <w:kern w:val="0"/>
                <w:sz w:val="22"/>
                <w:szCs w:val="22"/>
                <w:lang w:bidi="ar"/>
              </w:rPr>
              <w:t>《规范》第二十六条</w:t>
            </w:r>
          </w:p>
        </w:tc>
      </w:tr>
      <w:tr w14:paraId="792D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4ED94167">
            <w:pPr>
              <w:jc w:val="center"/>
              <w:rPr>
                <w:rFonts w:eastAsia="仿宋_GB2312"/>
                <w:color w:val="000000"/>
                <w:sz w:val="22"/>
                <w:szCs w:val="22"/>
              </w:rPr>
            </w:pPr>
          </w:p>
        </w:tc>
        <w:tc>
          <w:tcPr>
            <w:tcW w:w="326" w:type="pct"/>
            <w:noWrap w:val="0"/>
            <w:vAlign w:val="center"/>
          </w:tcPr>
          <w:p w14:paraId="481CE61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39</w:t>
            </w:r>
          </w:p>
        </w:tc>
        <w:tc>
          <w:tcPr>
            <w:tcW w:w="523" w:type="pct"/>
            <w:noWrap w:val="0"/>
            <w:vAlign w:val="center"/>
          </w:tcPr>
          <w:p w14:paraId="57CB692D">
            <w:pPr>
              <w:widowControl/>
              <w:jc w:val="center"/>
              <w:textAlignment w:val="center"/>
              <w:rPr>
                <w:rFonts w:eastAsia="仿宋_GB2312"/>
                <w:color w:val="000000"/>
                <w:sz w:val="22"/>
                <w:szCs w:val="22"/>
              </w:rPr>
            </w:pPr>
            <w:r>
              <w:rPr>
                <w:rFonts w:eastAsia="仿宋_GB2312"/>
                <w:color w:val="000000"/>
                <w:kern w:val="0"/>
                <w:sz w:val="22"/>
                <w:szCs w:val="22"/>
                <w:lang w:bidi="ar"/>
              </w:rPr>
              <w:t>4.2.2</w:t>
            </w:r>
          </w:p>
        </w:tc>
        <w:tc>
          <w:tcPr>
            <w:tcW w:w="2496" w:type="pct"/>
            <w:noWrap w:val="0"/>
            <w:vAlign w:val="center"/>
          </w:tcPr>
          <w:p w14:paraId="2C3F2CD3">
            <w:pPr>
              <w:widowControl/>
              <w:jc w:val="left"/>
              <w:textAlignment w:val="center"/>
              <w:rPr>
                <w:rFonts w:eastAsia="仿宋_GB2312"/>
                <w:color w:val="000000"/>
                <w:sz w:val="22"/>
                <w:szCs w:val="22"/>
              </w:rPr>
            </w:pPr>
            <w:r>
              <w:rPr>
                <w:rFonts w:eastAsia="仿宋_GB2312"/>
                <w:color w:val="000000"/>
                <w:kern w:val="0"/>
                <w:sz w:val="22"/>
                <w:szCs w:val="22"/>
                <w:lang w:bidi="ar"/>
              </w:rPr>
              <w:t>企业应当有整洁的生产环境，有适当的照明、温度、湿度和通风控制条件，符合产品质量以及相关技术标准的要求。</w:t>
            </w:r>
          </w:p>
        </w:tc>
        <w:tc>
          <w:tcPr>
            <w:tcW w:w="407" w:type="pct"/>
            <w:noWrap w:val="0"/>
            <w:vAlign w:val="center"/>
          </w:tcPr>
          <w:p w14:paraId="563BB4E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E846A6C">
            <w:pPr>
              <w:widowControl/>
              <w:jc w:val="center"/>
              <w:textAlignment w:val="center"/>
              <w:rPr>
                <w:rFonts w:eastAsia="仿宋_GB2312"/>
                <w:color w:val="000000"/>
                <w:sz w:val="22"/>
                <w:szCs w:val="22"/>
              </w:rPr>
            </w:pPr>
            <w:r>
              <w:rPr>
                <w:rFonts w:eastAsia="仿宋_GB2312"/>
                <w:color w:val="000000"/>
                <w:kern w:val="0"/>
                <w:sz w:val="22"/>
                <w:szCs w:val="22"/>
                <w:lang w:bidi="ar"/>
              </w:rPr>
              <w:t>《规范》第二十六条</w:t>
            </w:r>
          </w:p>
        </w:tc>
      </w:tr>
      <w:tr w14:paraId="7B6FB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2A79B52E">
            <w:pPr>
              <w:jc w:val="center"/>
              <w:rPr>
                <w:rFonts w:eastAsia="仿宋_GB2312"/>
                <w:color w:val="000000"/>
                <w:sz w:val="22"/>
                <w:szCs w:val="22"/>
              </w:rPr>
            </w:pPr>
          </w:p>
        </w:tc>
        <w:tc>
          <w:tcPr>
            <w:tcW w:w="326" w:type="pct"/>
            <w:noWrap w:val="0"/>
            <w:vAlign w:val="center"/>
          </w:tcPr>
          <w:p w14:paraId="395B64C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40</w:t>
            </w:r>
          </w:p>
        </w:tc>
        <w:tc>
          <w:tcPr>
            <w:tcW w:w="523" w:type="pct"/>
            <w:noWrap w:val="0"/>
            <w:vAlign w:val="center"/>
          </w:tcPr>
          <w:p w14:paraId="57B4AA85">
            <w:pPr>
              <w:widowControl/>
              <w:jc w:val="center"/>
              <w:textAlignment w:val="center"/>
              <w:rPr>
                <w:rFonts w:eastAsia="仿宋_GB2312"/>
                <w:color w:val="000000"/>
                <w:sz w:val="22"/>
                <w:szCs w:val="22"/>
              </w:rPr>
            </w:pPr>
            <w:r>
              <w:rPr>
                <w:rFonts w:eastAsia="仿宋_GB2312"/>
                <w:color w:val="000000"/>
                <w:kern w:val="0"/>
                <w:sz w:val="22"/>
                <w:szCs w:val="22"/>
                <w:lang w:bidi="ar"/>
              </w:rPr>
              <w:t>4.3.1</w:t>
            </w:r>
          </w:p>
        </w:tc>
        <w:tc>
          <w:tcPr>
            <w:tcW w:w="2496" w:type="pct"/>
            <w:noWrap w:val="0"/>
            <w:vAlign w:val="center"/>
          </w:tcPr>
          <w:p w14:paraId="61D541B8">
            <w:pPr>
              <w:widowControl/>
              <w:jc w:val="left"/>
              <w:textAlignment w:val="center"/>
              <w:rPr>
                <w:rFonts w:eastAsia="仿宋_GB2312"/>
                <w:color w:val="000000"/>
                <w:sz w:val="22"/>
                <w:szCs w:val="22"/>
              </w:rPr>
            </w:pPr>
            <w:r>
              <w:rPr>
                <w:rFonts w:eastAsia="仿宋_GB2312"/>
                <w:color w:val="000000"/>
                <w:kern w:val="0"/>
                <w:sz w:val="22"/>
                <w:szCs w:val="22"/>
                <w:lang w:bidi="ar"/>
              </w:rPr>
              <w:t>厂房与设施的设计和安装应当能够有效防止昆虫或者其他动物进入，并根据产品特性采取必要的防护措施。</w:t>
            </w:r>
          </w:p>
        </w:tc>
        <w:tc>
          <w:tcPr>
            <w:tcW w:w="407" w:type="pct"/>
            <w:noWrap w:val="0"/>
            <w:vAlign w:val="center"/>
          </w:tcPr>
          <w:p w14:paraId="21E6205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C67B682">
            <w:pPr>
              <w:widowControl/>
              <w:jc w:val="center"/>
              <w:textAlignment w:val="center"/>
              <w:rPr>
                <w:rFonts w:eastAsia="仿宋_GB2312"/>
                <w:color w:val="000000"/>
                <w:sz w:val="22"/>
                <w:szCs w:val="22"/>
              </w:rPr>
            </w:pPr>
            <w:r>
              <w:rPr>
                <w:rFonts w:eastAsia="仿宋_GB2312"/>
                <w:color w:val="000000"/>
                <w:kern w:val="0"/>
                <w:sz w:val="22"/>
                <w:szCs w:val="22"/>
                <w:lang w:bidi="ar"/>
              </w:rPr>
              <w:t>《规范》第二十七条</w:t>
            </w:r>
          </w:p>
        </w:tc>
      </w:tr>
      <w:tr w14:paraId="4F40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2218A79">
            <w:pPr>
              <w:jc w:val="center"/>
              <w:rPr>
                <w:rFonts w:eastAsia="仿宋_GB2312"/>
                <w:color w:val="000000"/>
                <w:sz w:val="22"/>
                <w:szCs w:val="22"/>
              </w:rPr>
            </w:pPr>
          </w:p>
        </w:tc>
        <w:tc>
          <w:tcPr>
            <w:tcW w:w="326" w:type="pct"/>
            <w:noWrap w:val="0"/>
            <w:vAlign w:val="center"/>
          </w:tcPr>
          <w:p w14:paraId="46FA9B7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41</w:t>
            </w:r>
          </w:p>
        </w:tc>
        <w:tc>
          <w:tcPr>
            <w:tcW w:w="523" w:type="pct"/>
            <w:noWrap w:val="0"/>
            <w:vAlign w:val="center"/>
          </w:tcPr>
          <w:p w14:paraId="6D9FA266">
            <w:pPr>
              <w:widowControl/>
              <w:jc w:val="center"/>
              <w:textAlignment w:val="center"/>
              <w:rPr>
                <w:rFonts w:eastAsia="仿宋_GB2312"/>
                <w:color w:val="000000"/>
                <w:sz w:val="22"/>
                <w:szCs w:val="22"/>
              </w:rPr>
            </w:pPr>
            <w:r>
              <w:rPr>
                <w:rFonts w:eastAsia="仿宋_GB2312"/>
                <w:color w:val="000000"/>
                <w:kern w:val="0"/>
                <w:sz w:val="22"/>
                <w:szCs w:val="22"/>
                <w:lang w:bidi="ar"/>
              </w:rPr>
              <w:t>4.3.2</w:t>
            </w:r>
          </w:p>
        </w:tc>
        <w:tc>
          <w:tcPr>
            <w:tcW w:w="2496" w:type="pct"/>
            <w:noWrap w:val="0"/>
            <w:vAlign w:val="center"/>
          </w:tcPr>
          <w:p w14:paraId="0C021068">
            <w:pPr>
              <w:widowControl/>
              <w:jc w:val="left"/>
              <w:textAlignment w:val="center"/>
              <w:rPr>
                <w:rFonts w:eastAsia="仿宋_GB2312"/>
                <w:color w:val="000000"/>
                <w:sz w:val="22"/>
                <w:szCs w:val="22"/>
              </w:rPr>
            </w:pPr>
            <w:r>
              <w:rPr>
                <w:rFonts w:eastAsia="仿宋_GB2312"/>
                <w:color w:val="000000"/>
                <w:kern w:val="0"/>
                <w:sz w:val="22"/>
                <w:szCs w:val="22"/>
                <w:lang w:bidi="ar"/>
              </w:rPr>
              <w:t>厂房与设施的维护和维修活动不得影响产品质量。</w:t>
            </w:r>
          </w:p>
        </w:tc>
        <w:tc>
          <w:tcPr>
            <w:tcW w:w="407" w:type="pct"/>
            <w:noWrap w:val="0"/>
            <w:vAlign w:val="center"/>
          </w:tcPr>
          <w:p w14:paraId="1308EFF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7CA5AB2">
            <w:pPr>
              <w:widowControl/>
              <w:jc w:val="center"/>
              <w:textAlignment w:val="center"/>
              <w:rPr>
                <w:rFonts w:eastAsia="仿宋_GB2312"/>
                <w:color w:val="000000"/>
                <w:sz w:val="22"/>
                <w:szCs w:val="22"/>
              </w:rPr>
            </w:pPr>
            <w:r>
              <w:rPr>
                <w:rFonts w:eastAsia="仿宋_GB2312"/>
                <w:color w:val="000000"/>
                <w:kern w:val="0"/>
                <w:sz w:val="22"/>
                <w:szCs w:val="22"/>
                <w:lang w:bidi="ar"/>
              </w:rPr>
              <w:t>《规范》第二十七条</w:t>
            </w:r>
          </w:p>
        </w:tc>
      </w:tr>
      <w:tr w14:paraId="7911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96C8D34">
            <w:pPr>
              <w:jc w:val="center"/>
              <w:rPr>
                <w:rFonts w:eastAsia="仿宋_GB2312"/>
                <w:color w:val="000000"/>
                <w:sz w:val="22"/>
                <w:szCs w:val="22"/>
              </w:rPr>
            </w:pPr>
          </w:p>
        </w:tc>
        <w:tc>
          <w:tcPr>
            <w:tcW w:w="326" w:type="pct"/>
            <w:noWrap w:val="0"/>
            <w:vAlign w:val="center"/>
          </w:tcPr>
          <w:p w14:paraId="1193154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42</w:t>
            </w:r>
          </w:p>
        </w:tc>
        <w:tc>
          <w:tcPr>
            <w:tcW w:w="523" w:type="pct"/>
            <w:noWrap w:val="0"/>
            <w:vAlign w:val="center"/>
          </w:tcPr>
          <w:p w14:paraId="1E964406">
            <w:pPr>
              <w:widowControl/>
              <w:jc w:val="center"/>
              <w:textAlignment w:val="center"/>
              <w:rPr>
                <w:rFonts w:eastAsia="仿宋_GB2312"/>
                <w:color w:val="000000"/>
                <w:sz w:val="22"/>
                <w:szCs w:val="22"/>
              </w:rPr>
            </w:pPr>
            <w:r>
              <w:rPr>
                <w:rFonts w:eastAsia="仿宋_GB2312"/>
                <w:color w:val="000000"/>
                <w:kern w:val="0"/>
                <w:sz w:val="22"/>
                <w:szCs w:val="22"/>
                <w:lang w:bidi="ar"/>
              </w:rPr>
              <w:t>4.4.1</w:t>
            </w:r>
          </w:p>
        </w:tc>
        <w:tc>
          <w:tcPr>
            <w:tcW w:w="2496" w:type="pct"/>
            <w:noWrap w:val="0"/>
            <w:vAlign w:val="center"/>
          </w:tcPr>
          <w:p w14:paraId="6ECEF2B9">
            <w:pPr>
              <w:widowControl/>
              <w:jc w:val="left"/>
              <w:textAlignment w:val="center"/>
              <w:rPr>
                <w:rFonts w:eastAsia="仿宋_GB2312"/>
                <w:color w:val="000000"/>
                <w:sz w:val="22"/>
                <w:szCs w:val="22"/>
              </w:rPr>
            </w:pPr>
            <w:r>
              <w:rPr>
                <w:rFonts w:eastAsia="仿宋_GB2312"/>
                <w:color w:val="000000"/>
                <w:kern w:val="0"/>
                <w:sz w:val="22"/>
                <w:szCs w:val="22"/>
                <w:lang w:bidi="ar"/>
              </w:rPr>
              <w:t>生产区应当有足够的空间，与所生产产品和规模相适应。</w:t>
            </w:r>
          </w:p>
        </w:tc>
        <w:tc>
          <w:tcPr>
            <w:tcW w:w="407" w:type="pct"/>
            <w:noWrap w:val="0"/>
            <w:vAlign w:val="center"/>
          </w:tcPr>
          <w:p w14:paraId="3FDBB5B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14DBA16">
            <w:pPr>
              <w:widowControl/>
              <w:jc w:val="center"/>
              <w:textAlignment w:val="center"/>
              <w:rPr>
                <w:rFonts w:eastAsia="仿宋_GB2312"/>
                <w:color w:val="000000"/>
                <w:sz w:val="22"/>
                <w:szCs w:val="22"/>
              </w:rPr>
            </w:pPr>
            <w:r>
              <w:rPr>
                <w:rFonts w:eastAsia="仿宋_GB2312"/>
                <w:color w:val="000000"/>
                <w:kern w:val="0"/>
                <w:sz w:val="22"/>
                <w:szCs w:val="22"/>
                <w:lang w:bidi="ar"/>
              </w:rPr>
              <w:t>《规范》第二十八条</w:t>
            </w:r>
          </w:p>
        </w:tc>
      </w:tr>
      <w:tr w14:paraId="1F73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6A968AFB">
            <w:pPr>
              <w:jc w:val="center"/>
              <w:rPr>
                <w:rFonts w:eastAsia="仿宋_GB2312"/>
                <w:color w:val="000000"/>
                <w:sz w:val="22"/>
                <w:szCs w:val="22"/>
              </w:rPr>
            </w:pPr>
          </w:p>
        </w:tc>
        <w:tc>
          <w:tcPr>
            <w:tcW w:w="326" w:type="pct"/>
            <w:noWrap w:val="0"/>
            <w:vAlign w:val="center"/>
          </w:tcPr>
          <w:p w14:paraId="34F8E33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43</w:t>
            </w:r>
          </w:p>
        </w:tc>
        <w:tc>
          <w:tcPr>
            <w:tcW w:w="523" w:type="pct"/>
            <w:noWrap w:val="0"/>
            <w:vAlign w:val="center"/>
          </w:tcPr>
          <w:p w14:paraId="79D39CC4">
            <w:pPr>
              <w:widowControl/>
              <w:jc w:val="center"/>
              <w:textAlignment w:val="center"/>
              <w:rPr>
                <w:rFonts w:eastAsia="仿宋_GB2312"/>
                <w:color w:val="000000"/>
                <w:sz w:val="22"/>
                <w:szCs w:val="22"/>
              </w:rPr>
            </w:pPr>
            <w:r>
              <w:rPr>
                <w:rFonts w:eastAsia="仿宋_GB2312"/>
                <w:color w:val="000000"/>
                <w:kern w:val="0"/>
                <w:sz w:val="22"/>
                <w:szCs w:val="22"/>
                <w:lang w:bidi="ar"/>
              </w:rPr>
              <w:t>4.5.1</w:t>
            </w:r>
          </w:p>
        </w:tc>
        <w:tc>
          <w:tcPr>
            <w:tcW w:w="2496" w:type="pct"/>
            <w:noWrap w:val="0"/>
            <w:vAlign w:val="center"/>
          </w:tcPr>
          <w:p w14:paraId="3E1F460A">
            <w:pPr>
              <w:widowControl/>
              <w:jc w:val="left"/>
              <w:textAlignment w:val="center"/>
              <w:rPr>
                <w:rFonts w:eastAsia="仿宋_GB2312"/>
                <w:color w:val="000000"/>
                <w:sz w:val="22"/>
                <w:szCs w:val="22"/>
              </w:rPr>
            </w:pPr>
            <w:r>
              <w:rPr>
                <w:rFonts w:eastAsia="仿宋_GB2312"/>
                <w:color w:val="000000"/>
                <w:kern w:val="0"/>
                <w:sz w:val="22"/>
                <w:szCs w:val="22"/>
                <w:lang w:bidi="ar"/>
              </w:rPr>
              <w:t>仓储区应当能够满足原材料、中间产品、成品等贮存条件要求，按照待检、合格、不合格、退货或者召回等情形进行合理存放，避免混淆和差错，便于检查和监控。</w:t>
            </w:r>
          </w:p>
        </w:tc>
        <w:tc>
          <w:tcPr>
            <w:tcW w:w="407" w:type="pct"/>
            <w:noWrap w:val="0"/>
            <w:vAlign w:val="center"/>
          </w:tcPr>
          <w:p w14:paraId="34F1952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4D319B2">
            <w:pPr>
              <w:widowControl/>
              <w:jc w:val="center"/>
              <w:textAlignment w:val="center"/>
              <w:rPr>
                <w:rFonts w:eastAsia="仿宋_GB2312"/>
                <w:color w:val="000000"/>
                <w:sz w:val="22"/>
                <w:szCs w:val="22"/>
              </w:rPr>
            </w:pPr>
            <w:r>
              <w:rPr>
                <w:rFonts w:eastAsia="仿宋_GB2312"/>
                <w:color w:val="000000"/>
                <w:kern w:val="0"/>
                <w:sz w:val="22"/>
                <w:szCs w:val="22"/>
                <w:lang w:bidi="ar"/>
              </w:rPr>
              <w:t>《规范》第二十九条</w:t>
            </w:r>
          </w:p>
        </w:tc>
      </w:tr>
      <w:tr w14:paraId="43ED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142362E">
            <w:pPr>
              <w:jc w:val="center"/>
              <w:rPr>
                <w:rFonts w:eastAsia="仿宋_GB2312"/>
                <w:color w:val="000000"/>
                <w:sz w:val="22"/>
                <w:szCs w:val="22"/>
              </w:rPr>
            </w:pPr>
          </w:p>
        </w:tc>
        <w:tc>
          <w:tcPr>
            <w:tcW w:w="326" w:type="pct"/>
            <w:noWrap w:val="0"/>
            <w:vAlign w:val="center"/>
          </w:tcPr>
          <w:p w14:paraId="60EE2D3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44</w:t>
            </w:r>
          </w:p>
        </w:tc>
        <w:tc>
          <w:tcPr>
            <w:tcW w:w="523" w:type="pct"/>
            <w:noWrap w:val="0"/>
            <w:vAlign w:val="center"/>
          </w:tcPr>
          <w:p w14:paraId="7B18E262">
            <w:pPr>
              <w:widowControl/>
              <w:jc w:val="center"/>
              <w:textAlignment w:val="center"/>
              <w:rPr>
                <w:rFonts w:eastAsia="仿宋_GB2312"/>
                <w:color w:val="000000"/>
                <w:sz w:val="22"/>
                <w:szCs w:val="22"/>
              </w:rPr>
            </w:pPr>
            <w:r>
              <w:rPr>
                <w:rFonts w:eastAsia="仿宋_GB2312"/>
                <w:color w:val="000000"/>
                <w:kern w:val="0"/>
                <w:sz w:val="22"/>
                <w:szCs w:val="22"/>
                <w:lang w:bidi="ar"/>
              </w:rPr>
              <w:t>4.6.1</w:t>
            </w:r>
          </w:p>
        </w:tc>
        <w:tc>
          <w:tcPr>
            <w:tcW w:w="2496" w:type="pct"/>
            <w:noWrap w:val="0"/>
            <w:vAlign w:val="center"/>
          </w:tcPr>
          <w:p w14:paraId="39AA0053">
            <w:pPr>
              <w:widowControl/>
              <w:jc w:val="left"/>
              <w:textAlignment w:val="center"/>
              <w:rPr>
                <w:rFonts w:eastAsia="仿宋_GB2312"/>
                <w:color w:val="000000"/>
                <w:sz w:val="22"/>
                <w:szCs w:val="22"/>
              </w:rPr>
            </w:pPr>
            <w:r>
              <w:rPr>
                <w:rFonts w:eastAsia="仿宋_GB2312"/>
                <w:color w:val="000000"/>
                <w:kern w:val="0"/>
                <w:sz w:val="22"/>
                <w:szCs w:val="22"/>
                <w:lang w:bidi="ar"/>
              </w:rPr>
              <w:t>企业应当配备与产品生产规模、品种、检验要求相适应的检验场所和设施。</w:t>
            </w:r>
          </w:p>
        </w:tc>
        <w:tc>
          <w:tcPr>
            <w:tcW w:w="407" w:type="pct"/>
            <w:noWrap w:val="0"/>
            <w:vAlign w:val="center"/>
          </w:tcPr>
          <w:p w14:paraId="73C6118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53616E6">
            <w:pPr>
              <w:widowControl/>
              <w:jc w:val="center"/>
              <w:textAlignment w:val="center"/>
              <w:rPr>
                <w:rFonts w:eastAsia="仿宋_GB2312"/>
                <w:color w:val="000000"/>
                <w:sz w:val="22"/>
                <w:szCs w:val="22"/>
              </w:rPr>
            </w:pPr>
            <w:r>
              <w:rPr>
                <w:rFonts w:eastAsia="仿宋_GB2312"/>
                <w:color w:val="000000"/>
                <w:kern w:val="0"/>
                <w:sz w:val="22"/>
                <w:szCs w:val="22"/>
                <w:lang w:bidi="ar"/>
              </w:rPr>
              <w:t>《规范》第三十条</w:t>
            </w:r>
          </w:p>
        </w:tc>
      </w:tr>
      <w:tr w14:paraId="17D6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5F0FF5D">
            <w:pPr>
              <w:jc w:val="center"/>
              <w:rPr>
                <w:rFonts w:eastAsia="仿宋_GB2312"/>
                <w:color w:val="000000"/>
                <w:sz w:val="22"/>
                <w:szCs w:val="22"/>
              </w:rPr>
            </w:pPr>
          </w:p>
        </w:tc>
        <w:tc>
          <w:tcPr>
            <w:tcW w:w="326" w:type="pct"/>
            <w:noWrap w:val="0"/>
            <w:vAlign w:val="center"/>
          </w:tcPr>
          <w:p w14:paraId="76FF29F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45</w:t>
            </w:r>
          </w:p>
        </w:tc>
        <w:tc>
          <w:tcPr>
            <w:tcW w:w="523" w:type="pct"/>
            <w:noWrap w:val="0"/>
            <w:vAlign w:val="center"/>
          </w:tcPr>
          <w:p w14:paraId="7189B1BD">
            <w:pPr>
              <w:widowControl/>
              <w:jc w:val="center"/>
              <w:textAlignment w:val="center"/>
              <w:rPr>
                <w:rFonts w:eastAsia="仿宋_GB2312"/>
                <w:color w:val="000000"/>
                <w:sz w:val="22"/>
                <w:szCs w:val="22"/>
              </w:rPr>
            </w:pPr>
            <w:r>
              <w:rPr>
                <w:rFonts w:eastAsia="仿宋_GB2312"/>
                <w:color w:val="000000"/>
                <w:kern w:val="0"/>
                <w:sz w:val="22"/>
                <w:szCs w:val="22"/>
                <w:lang w:bidi="ar"/>
              </w:rPr>
              <w:t>4.7.1</w:t>
            </w:r>
          </w:p>
        </w:tc>
        <w:tc>
          <w:tcPr>
            <w:tcW w:w="2496" w:type="pct"/>
            <w:noWrap w:val="0"/>
            <w:vAlign w:val="center"/>
          </w:tcPr>
          <w:p w14:paraId="030E9893">
            <w:pPr>
              <w:widowControl/>
              <w:jc w:val="left"/>
              <w:textAlignment w:val="center"/>
              <w:rPr>
                <w:rFonts w:eastAsia="仿宋_GB2312"/>
                <w:color w:val="000000"/>
                <w:sz w:val="22"/>
                <w:szCs w:val="22"/>
              </w:rPr>
            </w:pPr>
            <w:r>
              <w:rPr>
                <w:rFonts w:eastAsia="仿宋_GB2312"/>
                <w:color w:val="000000"/>
                <w:kern w:val="0"/>
                <w:sz w:val="22"/>
                <w:szCs w:val="22"/>
                <w:lang w:bidi="ar"/>
              </w:rPr>
              <w:t>企业应当根据产品特性、生产工艺以及外部环境等配置相应设施，如供配电系统、空气调节系统以及安全防护设施等。</w:t>
            </w:r>
          </w:p>
        </w:tc>
        <w:tc>
          <w:tcPr>
            <w:tcW w:w="407" w:type="pct"/>
            <w:noWrap w:val="0"/>
            <w:vAlign w:val="center"/>
          </w:tcPr>
          <w:p w14:paraId="1B7F5EC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856B64A">
            <w:pPr>
              <w:widowControl/>
              <w:jc w:val="center"/>
              <w:textAlignment w:val="center"/>
              <w:rPr>
                <w:rFonts w:eastAsia="仿宋_GB2312"/>
                <w:color w:val="000000"/>
                <w:sz w:val="22"/>
                <w:szCs w:val="22"/>
              </w:rPr>
            </w:pPr>
            <w:r>
              <w:rPr>
                <w:rFonts w:eastAsia="仿宋_GB2312"/>
                <w:color w:val="000000"/>
                <w:kern w:val="0"/>
                <w:sz w:val="22"/>
                <w:szCs w:val="22"/>
                <w:lang w:bidi="ar"/>
              </w:rPr>
              <w:t>《规范》第三十一条</w:t>
            </w:r>
          </w:p>
        </w:tc>
      </w:tr>
      <w:tr w14:paraId="692D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E1E7E7C">
            <w:pPr>
              <w:jc w:val="center"/>
              <w:rPr>
                <w:rFonts w:eastAsia="仿宋_GB2312"/>
                <w:color w:val="000000"/>
                <w:sz w:val="22"/>
                <w:szCs w:val="22"/>
              </w:rPr>
            </w:pPr>
          </w:p>
        </w:tc>
        <w:tc>
          <w:tcPr>
            <w:tcW w:w="326" w:type="pct"/>
            <w:noWrap w:val="0"/>
            <w:vAlign w:val="center"/>
          </w:tcPr>
          <w:p w14:paraId="6EBBCFB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46</w:t>
            </w:r>
          </w:p>
        </w:tc>
        <w:tc>
          <w:tcPr>
            <w:tcW w:w="523" w:type="pct"/>
            <w:noWrap w:val="0"/>
            <w:vAlign w:val="center"/>
          </w:tcPr>
          <w:p w14:paraId="2F9D0585">
            <w:pPr>
              <w:widowControl/>
              <w:jc w:val="center"/>
              <w:textAlignment w:val="center"/>
              <w:rPr>
                <w:rFonts w:eastAsia="仿宋_GB2312"/>
                <w:color w:val="000000"/>
                <w:sz w:val="22"/>
                <w:szCs w:val="22"/>
              </w:rPr>
            </w:pPr>
            <w:r>
              <w:rPr>
                <w:rFonts w:eastAsia="仿宋_GB2312"/>
                <w:color w:val="000000"/>
                <w:kern w:val="0"/>
                <w:sz w:val="22"/>
                <w:szCs w:val="22"/>
                <w:lang w:bidi="ar"/>
              </w:rPr>
              <w:t>4.7.2</w:t>
            </w:r>
          </w:p>
        </w:tc>
        <w:tc>
          <w:tcPr>
            <w:tcW w:w="2496" w:type="pct"/>
            <w:noWrap w:val="0"/>
            <w:vAlign w:val="center"/>
          </w:tcPr>
          <w:p w14:paraId="0EEC7F71">
            <w:pPr>
              <w:widowControl/>
              <w:jc w:val="left"/>
              <w:textAlignment w:val="center"/>
              <w:rPr>
                <w:rFonts w:eastAsia="仿宋_GB2312"/>
                <w:color w:val="000000"/>
                <w:sz w:val="22"/>
                <w:szCs w:val="22"/>
              </w:rPr>
            </w:pPr>
            <w:r>
              <w:rPr>
                <w:rFonts w:eastAsia="仿宋_GB2312"/>
                <w:color w:val="000000"/>
                <w:kern w:val="0"/>
                <w:sz w:val="22"/>
                <w:szCs w:val="22"/>
                <w:lang w:bidi="ar"/>
              </w:rPr>
              <w:t>企业应当对相关设施进行确认并开展日常监测和维护，确保符合预定用途。</w:t>
            </w:r>
          </w:p>
        </w:tc>
        <w:tc>
          <w:tcPr>
            <w:tcW w:w="407" w:type="pct"/>
            <w:noWrap w:val="0"/>
            <w:vAlign w:val="center"/>
          </w:tcPr>
          <w:p w14:paraId="5F8808B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203A9F7">
            <w:pPr>
              <w:widowControl/>
              <w:jc w:val="center"/>
              <w:textAlignment w:val="center"/>
              <w:rPr>
                <w:rFonts w:eastAsia="仿宋_GB2312"/>
                <w:color w:val="000000"/>
                <w:sz w:val="22"/>
                <w:szCs w:val="22"/>
              </w:rPr>
            </w:pPr>
            <w:r>
              <w:rPr>
                <w:rFonts w:eastAsia="仿宋_GB2312"/>
                <w:color w:val="000000"/>
                <w:kern w:val="0"/>
                <w:sz w:val="22"/>
                <w:szCs w:val="22"/>
                <w:lang w:bidi="ar"/>
              </w:rPr>
              <w:t>《规范》第三十一条</w:t>
            </w:r>
          </w:p>
        </w:tc>
      </w:tr>
      <w:tr w14:paraId="52C8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77D6B45C">
            <w:pPr>
              <w:jc w:val="center"/>
              <w:rPr>
                <w:rFonts w:eastAsia="仿宋_GB2312"/>
                <w:color w:val="000000"/>
                <w:sz w:val="22"/>
                <w:szCs w:val="22"/>
              </w:rPr>
            </w:pPr>
          </w:p>
        </w:tc>
        <w:tc>
          <w:tcPr>
            <w:tcW w:w="326" w:type="pct"/>
            <w:noWrap w:val="0"/>
            <w:vAlign w:val="center"/>
          </w:tcPr>
          <w:p w14:paraId="4B905D8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47</w:t>
            </w:r>
          </w:p>
        </w:tc>
        <w:tc>
          <w:tcPr>
            <w:tcW w:w="523" w:type="pct"/>
            <w:noWrap w:val="0"/>
            <w:vAlign w:val="center"/>
          </w:tcPr>
          <w:p w14:paraId="317434B2">
            <w:pPr>
              <w:widowControl/>
              <w:jc w:val="center"/>
              <w:textAlignment w:val="center"/>
              <w:rPr>
                <w:rFonts w:eastAsia="仿宋_GB2312"/>
                <w:color w:val="000000"/>
                <w:sz w:val="22"/>
                <w:szCs w:val="22"/>
              </w:rPr>
            </w:pPr>
            <w:r>
              <w:rPr>
                <w:rFonts w:eastAsia="仿宋_GB2312"/>
                <w:color w:val="000000"/>
                <w:kern w:val="0"/>
                <w:sz w:val="22"/>
                <w:szCs w:val="22"/>
                <w:lang w:bidi="ar"/>
              </w:rPr>
              <w:t>4.8.1</w:t>
            </w:r>
          </w:p>
        </w:tc>
        <w:tc>
          <w:tcPr>
            <w:tcW w:w="2496" w:type="pct"/>
            <w:noWrap w:val="0"/>
            <w:vAlign w:val="center"/>
          </w:tcPr>
          <w:p w14:paraId="440AFD0C">
            <w:pPr>
              <w:widowControl/>
              <w:jc w:val="left"/>
              <w:textAlignment w:val="center"/>
              <w:rPr>
                <w:rFonts w:eastAsia="仿宋_GB2312"/>
                <w:color w:val="000000"/>
                <w:sz w:val="22"/>
                <w:szCs w:val="22"/>
              </w:rPr>
            </w:pPr>
            <w:r>
              <w:rPr>
                <w:rFonts w:eastAsia="仿宋_GB2312"/>
                <w:color w:val="000000"/>
                <w:kern w:val="0"/>
                <w:sz w:val="22"/>
                <w:szCs w:val="22"/>
                <w:highlight w:val="none"/>
                <w:lang w:bidi="ar"/>
              </w:rPr>
              <w:t>研发、</w:t>
            </w:r>
            <w:r>
              <w:rPr>
                <w:rFonts w:eastAsia="仿宋_GB2312"/>
                <w:color w:val="000000"/>
                <w:kern w:val="0"/>
                <w:sz w:val="22"/>
                <w:szCs w:val="22"/>
                <w:lang w:bidi="ar"/>
              </w:rPr>
              <w:t>生产、检验、贮存等过程中使用信息化系统的，企业应当配备满足预定用途的硬件设施和软件运行环境，并采取适宜措施防止外来因素干扰。</w:t>
            </w:r>
          </w:p>
        </w:tc>
        <w:tc>
          <w:tcPr>
            <w:tcW w:w="407" w:type="pct"/>
            <w:noWrap w:val="0"/>
            <w:vAlign w:val="center"/>
          </w:tcPr>
          <w:p w14:paraId="140337F3">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D179751">
            <w:pPr>
              <w:widowControl/>
              <w:jc w:val="center"/>
              <w:textAlignment w:val="center"/>
              <w:rPr>
                <w:rFonts w:eastAsia="仿宋_GB2312"/>
                <w:color w:val="000000"/>
                <w:sz w:val="22"/>
                <w:szCs w:val="22"/>
              </w:rPr>
            </w:pPr>
            <w:r>
              <w:rPr>
                <w:rFonts w:eastAsia="仿宋_GB2312"/>
                <w:color w:val="000000"/>
                <w:kern w:val="0"/>
                <w:sz w:val="22"/>
                <w:szCs w:val="22"/>
                <w:lang w:bidi="ar"/>
              </w:rPr>
              <w:t>《规范》第三十三条</w:t>
            </w:r>
          </w:p>
        </w:tc>
      </w:tr>
      <w:tr w14:paraId="4ECD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371794E">
            <w:pPr>
              <w:jc w:val="center"/>
              <w:rPr>
                <w:rFonts w:eastAsia="仿宋_GB2312"/>
                <w:color w:val="000000"/>
                <w:sz w:val="22"/>
                <w:szCs w:val="22"/>
              </w:rPr>
            </w:pPr>
          </w:p>
        </w:tc>
        <w:tc>
          <w:tcPr>
            <w:tcW w:w="326" w:type="pct"/>
            <w:noWrap w:val="0"/>
            <w:vAlign w:val="center"/>
          </w:tcPr>
          <w:p w14:paraId="5A575FA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48</w:t>
            </w:r>
          </w:p>
        </w:tc>
        <w:tc>
          <w:tcPr>
            <w:tcW w:w="523" w:type="pct"/>
            <w:noWrap w:val="0"/>
            <w:vAlign w:val="center"/>
          </w:tcPr>
          <w:p w14:paraId="2CA39D18">
            <w:pPr>
              <w:widowControl/>
              <w:jc w:val="center"/>
              <w:textAlignment w:val="center"/>
              <w:rPr>
                <w:rFonts w:eastAsia="仿宋_GB2312"/>
                <w:color w:val="000000"/>
                <w:sz w:val="22"/>
                <w:szCs w:val="22"/>
              </w:rPr>
            </w:pPr>
            <w:r>
              <w:rPr>
                <w:rFonts w:eastAsia="仿宋_GB2312"/>
                <w:color w:val="000000"/>
                <w:kern w:val="0"/>
                <w:sz w:val="22"/>
                <w:szCs w:val="22"/>
                <w:lang w:bidi="ar"/>
              </w:rPr>
              <w:t>4.9.1</w:t>
            </w:r>
          </w:p>
        </w:tc>
        <w:tc>
          <w:tcPr>
            <w:tcW w:w="2496" w:type="pct"/>
            <w:noWrap w:val="0"/>
            <w:vAlign w:val="center"/>
          </w:tcPr>
          <w:p w14:paraId="1944F877">
            <w:pPr>
              <w:widowControl/>
              <w:jc w:val="left"/>
              <w:textAlignment w:val="center"/>
              <w:rPr>
                <w:rFonts w:eastAsia="仿宋_GB2312"/>
                <w:color w:val="000000"/>
                <w:sz w:val="22"/>
                <w:szCs w:val="22"/>
              </w:rPr>
            </w:pPr>
            <w:r>
              <w:rPr>
                <w:rFonts w:eastAsia="仿宋_GB2312"/>
                <w:color w:val="000000"/>
                <w:kern w:val="0"/>
                <w:sz w:val="22"/>
                <w:szCs w:val="22"/>
                <w:lang w:bidi="ar"/>
              </w:rPr>
              <w:t>企业应当采取适宜措施，防止未经批准人员进入</w:t>
            </w:r>
            <w:r>
              <w:rPr>
                <w:rFonts w:hint="eastAsia" w:eastAsia="仿宋_GB2312"/>
                <w:color w:val="000000"/>
                <w:kern w:val="0"/>
                <w:sz w:val="22"/>
                <w:szCs w:val="22"/>
                <w:lang w:bidi="ar"/>
              </w:rPr>
              <w:t>生产、检验和贮存区</w:t>
            </w:r>
            <w:r>
              <w:rPr>
                <w:rFonts w:eastAsia="仿宋_GB2312"/>
                <w:color w:val="000000"/>
                <w:kern w:val="0"/>
                <w:sz w:val="22"/>
                <w:szCs w:val="22"/>
                <w:lang w:bidi="ar"/>
              </w:rPr>
              <w:t>。</w:t>
            </w:r>
          </w:p>
        </w:tc>
        <w:tc>
          <w:tcPr>
            <w:tcW w:w="407" w:type="pct"/>
            <w:noWrap w:val="0"/>
            <w:vAlign w:val="center"/>
          </w:tcPr>
          <w:p w14:paraId="3A37B66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7DD8194">
            <w:pPr>
              <w:widowControl/>
              <w:jc w:val="center"/>
              <w:textAlignment w:val="center"/>
              <w:rPr>
                <w:rFonts w:eastAsia="仿宋_GB2312"/>
                <w:color w:val="000000"/>
                <w:sz w:val="22"/>
                <w:szCs w:val="22"/>
              </w:rPr>
            </w:pPr>
            <w:r>
              <w:rPr>
                <w:rFonts w:eastAsia="仿宋_GB2312"/>
                <w:color w:val="000000"/>
                <w:kern w:val="0"/>
                <w:sz w:val="22"/>
                <w:szCs w:val="22"/>
                <w:lang w:bidi="ar"/>
              </w:rPr>
              <w:t>《规范》第三十四条</w:t>
            </w:r>
          </w:p>
        </w:tc>
      </w:tr>
      <w:tr w14:paraId="39A7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37CC45A">
            <w:pPr>
              <w:jc w:val="center"/>
              <w:rPr>
                <w:rFonts w:eastAsia="仿宋_GB2312"/>
                <w:color w:val="000000"/>
                <w:sz w:val="22"/>
                <w:szCs w:val="22"/>
              </w:rPr>
            </w:pPr>
          </w:p>
        </w:tc>
        <w:tc>
          <w:tcPr>
            <w:tcW w:w="326" w:type="pct"/>
            <w:noWrap w:val="0"/>
            <w:vAlign w:val="center"/>
          </w:tcPr>
          <w:p w14:paraId="2CBAC13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49</w:t>
            </w:r>
          </w:p>
        </w:tc>
        <w:tc>
          <w:tcPr>
            <w:tcW w:w="523" w:type="pct"/>
            <w:noWrap w:val="0"/>
            <w:vAlign w:val="center"/>
          </w:tcPr>
          <w:p w14:paraId="0972DE50">
            <w:pPr>
              <w:widowControl/>
              <w:jc w:val="center"/>
              <w:textAlignment w:val="center"/>
              <w:rPr>
                <w:rFonts w:eastAsia="仿宋_GB2312"/>
                <w:color w:val="000000"/>
                <w:sz w:val="22"/>
                <w:szCs w:val="22"/>
              </w:rPr>
            </w:pPr>
            <w:r>
              <w:rPr>
                <w:rFonts w:eastAsia="仿宋_GB2312"/>
                <w:color w:val="000000"/>
                <w:kern w:val="0"/>
                <w:sz w:val="22"/>
                <w:szCs w:val="22"/>
                <w:lang w:bidi="ar"/>
              </w:rPr>
              <w:t>4.10.1</w:t>
            </w:r>
          </w:p>
        </w:tc>
        <w:tc>
          <w:tcPr>
            <w:tcW w:w="2496" w:type="pct"/>
            <w:noWrap w:val="0"/>
            <w:vAlign w:val="center"/>
          </w:tcPr>
          <w:p w14:paraId="5868571F">
            <w:pPr>
              <w:widowControl/>
              <w:jc w:val="left"/>
              <w:textAlignment w:val="center"/>
              <w:rPr>
                <w:rFonts w:eastAsia="仿宋_GB2312"/>
                <w:color w:val="000000"/>
                <w:sz w:val="22"/>
                <w:szCs w:val="22"/>
              </w:rPr>
            </w:pPr>
            <w:r>
              <w:rPr>
                <w:rFonts w:eastAsia="仿宋_GB2312"/>
                <w:color w:val="000000"/>
                <w:kern w:val="0"/>
                <w:sz w:val="22"/>
                <w:szCs w:val="22"/>
                <w:lang w:bidi="ar"/>
              </w:rPr>
              <w:t>企业应当保存厂房和设施相关的文档，包括但不限于总平面布局图、生产区域分布图、使用说明、维护保养规定等。</w:t>
            </w:r>
          </w:p>
        </w:tc>
        <w:tc>
          <w:tcPr>
            <w:tcW w:w="407" w:type="pct"/>
            <w:noWrap w:val="0"/>
            <w:vAlign w:val="center"/>
          </w:tcPr>
          <w:p w14:paraId="484C4603">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CAC8858">
            <w:pPr>
              <w:widowControl/>
              <w:jc w:val="center"/>
              <w:textAlignment w:val="center"/>
              <w:rPr>
                <w:rFonts w:eastAsia="仿宋_GB2312"/>
                <w:color w:val="000000"/>
                <w:sz w:val="22"/>
                <w:szCs w:val="22"/>
              </w:rPr>
            </w:pPr>
            <w:r>
              <w:rPr>
                <w:rFonts w:eastAsia="仿宋_GB2312"/>
                <w:color w:val="000000"/>
                <w:kern w:val="0"/>
                <w:sz w:val="22"/>
                <w:szCs w:val="22"/>
                <w:lang w:bidi="ar"/>
              </w:rPr>
              <w:t>《规范》第三十五条</w:t>
            </w:r>
          </w:p>
        </w:tc>
      </w:tr>
      <w:tr w14:paraId="359E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restart"/>
            <w:noWrap w:val="0"/>
            <w:vAlign w:val="center"/>
          </w:tcPr>
          <w:p w14:paraId="35C5B1E1">
            <w:pPr>
              <w:widowControl/>
              <w:jc w:val="center"/>
              <w:textAlignment w:val="center"/>
              <w:rPr>
                <w:rFonts w:eastAsia="仿宋_GB2312"/>
                <w:color w:val="000000"/>
                <w:sz w:val="22"/>
                <w:szCs w:val="22"/>
              </w:rPr>
            </w:pPr>
            <w:r>
              <w:rPr>
                <w:rFonts w:eastAsia="仿宋_GB2312"/>
                <w:color w:val="000000"/>
                <w:kern w:val="0"/>
                <w:sz w:val="22"/>
                <w:szCs w:val="22"/>
                <w:lang w:bidi="ar"/>
              </w:rPr>
              <w:t>第五章 设备</w:t>
            </w:r>
          </w:p>
        </w:tc>
        <w:tc>
          <w:tcPr>
            <w:tcW w:w="326" w:type="pct"/>
            <w:noWrap w:val="0"/>
            <w:vAlign w:val="center"/>
          </w:tcPr>
          <w:p w14:paraId="44B5A3E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50</w:t>
            </w:r>
          </w:p>
        </w:tc>
        <w:tc>
          <w:tcPr>
            <w:tcW w:w="523" w:type="pct"/>
            <w:noWrap w:val="0"/>
            <w:vAlign w:val="center"/>
          </w:tcPr>
          <w:p w14:paraId="09131D26">
            <w:pPr>
              <w:widowControl/>
              <w:jc w:val="center"/>
              <w:textAlignment w:val="center"/>
              <w:rPr>
                <w:rFonts w:eastAsia="仿宋_GB2312"/>
                <w:color w:val="000000"/>
                <w:sz w:val="22"/>
                <w:szCs w:val="22"/>
              </w:rPr>
            </w:pPr>
            <w:r>
              <w:rPr>
                <w:rFonts w:eastAsia="仿宋_GB2312"/>
                <w:color w:val="000000"/>
                <w:kern w:val="0"/>
                <w:sz w:val="22"/>
                <w:szCs w:val="22"/>
                <w:lang w:bidi="ar"/>
              </w:rPr>
              <w:t>5.1.1</w:t>
            </w:r>
          </w:p>
        </w:tc>
        <w:tc>
          <w:tcPr>
            <w:tcW w:w="2496" w:type="pct"/>
            <w:noWrap w:val="0"/>
            <w:vAlign w:val="center"/>
          </w:tcPr>
          <w:p w14:paraId="61454094">
            <w:pPr>
              <w:widowControl/>
              <w:jc w:val="left"/>
              <w:textAlignment w:val="center"/>
              <w:rPr>
                <w:rFonts w:eastAsia="仿宋_GB2312"/>
                <w:color w:val="000000"/>
                <w:sz w:val="22"/>
                <w:szCs w:val="22"/>
              </w:rPr>
            </w:pPr>
            <w:r>
              <w:rPr>
                <w:rFonts w:eastAsia="仿宋_GB2312"/>
                <w:color w:val="000000"/>
                <w:kern w:val="0"/>
                <w:sz w:val="22"/>
                <w:szCs w:val="22"/>
                <w:lang w:bidi="ar"/>
              </w:rPr>
              <w:t>企业应当配备与所生产产品和规模相匹配的生产设备、检验仪器和设备、工装夹具等，以及在软件生存周期过程持续提供充分、适宜、有效的软件开发和测试环境，并确保有效运行。</w:t>
            </w:r>
          </w:p>
        </w:tc>
        <w:tc>
          <w:tcPr>
            <w:tcW w:w="407" w:type="pct"/>
            <w:noWrap w:val="0"/>
            <w:vAlign w:val="center"/>
          </w:tcPr>
          <w:p w14:paraId="3E30238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57297A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《规范》第三十六条</w:t>
            </w:r>
            <w:r>
              <w:rPr>
                <w:rFonts w:hint="eastAsia" w:eastAsia="仿宋_GB2312"/>
                <w:color w:val="000000"/>
                <w:kern w:val="0"/>
                <w:sz w:val="22"/>
                <w:szCs w:val="22"/>
                <w:lang w:bidi="ar"/>
              </w:rPr>
              <w:t>，</w:t>
            </w:r>
          </w:p>
          <w:p w14:paraId="7E5DEAA3">
            <w:pPr>
              <w:widowControl/>
              <w:jc w:val="center"/>
              <w:textAlignment w:val="center"/>
              <w:rPr>
                <w:rFonts w:hint="eastAsia" w:eastAsia="仿宋_GB2312"/>
                <w:color w:val="000000"/>
                <w:sz w:val="22"/>
                <w:szCs w:val="22"/>
              </w:rPr>
            </w:pPr>
            <w:r>
              <w:rPr>
                <w:rFonts w:hint="eastAsia" w:eastAsia="仿宋_GB2312"/>
                <w:color w:val="000000"/>
                <w:sz w:val="22"/>
                <w:szCs w:val="22"/>
              </w:rPr>
              <w:t>《独立软件附录》2.2.1</w:t>
            </w:r>
          </w:p>
        </w:tc>
      </w:tr>
      <w:tr w14:paraId="0BEC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7164554A">
            <w:pPr>
              <w:jc w:val="center"/>
              <w:rPr>
                <w:rFonts w:eastAsia="仿宋_GB2312"/>
                <w:color w:val="000000"/>
                <w:sz w:val="22"/>
                <w:szCs w:val="22"/>
              </w:rPr>
            </w:pPr>
          </w:p>
        </w:tc>
        <w:tc>
          <w:tcPr>
            <w:tcW w:w="326" w:type="pct"/>
            <w:noWrap w:val="0"/>
            <w:vAlign w:val="center"/>
          </w:tcPr>
          <w:p w14:paraId="05E8F34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51</w:t>
            </w:r>
          </w:p>
        </w:tc>
        <w:tc>
          <w:tcPr>
            <w:tcW w:w="523" w:type="pct"/>
            <w:noWrap w:val="0"/>
            <w:vAlign w:val="center"/>
          </w:tcPr>
          <w:p w14:paraId="6535A2AC">
            <w:pPr>
              <w:widowControl/>
              <w:jc w:val="center"/>
              <w:textAlignment w:val="center"/>
              <w:rPr>
                <w:rFonts w:eastAsia="仿宋_GB2312"/>
                <w:color w:val="000000"/>
                <w:sz w:val="22"/>
                <w:szCs w:val="22"/>
              </w:rPr>
            </w:pPr>
            <w:r>
              <w:rPr>
                <w:rFonts w:eastAsia="仿宋_GB2312"/>
                <w:color w:val="000000"/>
                <w:kern w:val="0"/>
                <w:sz w:val="22"/>
                <w:szCs w:val="22"/>
                <w:lang w:bidi="ar"/>
              </w:rPr>
              <w:t>5.1.2</w:t>
            </w:r>
          </w:p>
        </w:tc>
        <w:tc>
          <w:tcPr>
            <w:tcW w:w="2496" w:type="pct"/>
            <w:noWrap w:val="0"/>
            <w:vAlign w:val="center"/>
          </w:tcPr>
          <w:p w14:paraId="6E8AE93E">
            <w:pPr>
              <w:widowControl/>
              <w:jc w:val="left"/>
              <w:textAlignment w:val="center"/>
              <w:rPr>
                <w:rFonts w:eastAsia="仿宋_GB2312"/>
                <w:color w:val="000000"/>
                <w:sz w:val="22"/>
                <w:szCs w:val="22"/>
              </w:rPr>
            </w:pPr>
            <w:r>
              <w:rPr>
                <w:rFonts w:eastAsia="仿宋_GB2312"/>
                <w:color w:val="000000"/>
                <w:kern w:val="0"/>
                <w:sz w:val="22"/>
                <w:szCs w:val="22"/>
                <w:lang w:bidi="ar"/>
              </w:rPr>
              <w:t>设备和仪器的设计、选型、安装、维护和维修应当符合预定用途，便于操作、清洁和维护。</w:t>
            </w:r>
          </w:p>
        </w:tc>
        <w:tc>
          <w:tcPr>
            <w:tcW w:w="407" w:type="pct"/>
            <w:noWrap w:val="0"/>
            <w:vAlign w:val="center"/>
          </w:tcPr>
          <w:p w14:paraId="1FDBC47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8F60377">
            <w:pPr>
              <w:widowControl/>
              <w:jc w:val="center"/>
              <w:textAlignment w:val="center"/>
              <w:rPr>
                <w:rFonts w:eastAsia="仿宋_GB2312"/>
                <w:color w:val="000000"/>
                <w:sz w:val="22"/>
                <w:szCs w:val="22"/>
              </w:rPr>
            </w:pPr>
            <w:r>
              <w:rPr>
                <w:rFonts w:eastAsia="仿宋_GB2312"/>
                <w:color w:val="000000"/>
                <w:kern w:val="0"/>
                <w:sz w:val="22"/>
                <w:szCs w:val="22"/>
                <w:lang w:bidi="ar"/>
              </w:rPr>
              <w:t>《规范》第三十六条</w:t>
            </w:r>
          </w:p>
        </w:tc>
      </w:tr>
      <w:tr w14:paraId="3D67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49A3B188">
            <w:pPr>
              <w:jc w:val="center"/>
              <w:rPr>
                <w:rFonts w:eastAsia="仿宋_GB2312"/>
                <w:color w:val="000000"/>
                <w:sz w:val="22"/>
                <w:szCs w:val="22"/>
              </w:rPr>
            </w:pPr>
          </w:p>
        </w:tc>
        <w:tc>
          <w:tcPr>
            <w:tcW w:w="326" w:type="pct"/>
            <w:noWrap w:val="0"/>
            <w:vAlign w:val="center"/>
          </w:tcPr>
          <w:p w14:paraId="38C4E63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52</w:t>
            </w:r>
          </w:p>
        </w:tc>
        <w:tc>
          <w:tcPr>
            <w:tcW w:w="523" w:type="pct"/>
            <w:noWrap w:val="0"/>
            <w:vAlign w:val="center"/>
          </w:tcPr>
          <w:p w14:paraId="2DCA3486">
            <w:pPr>
              <w:widowControl/>
              <w:jc w:val="center"/>
              <w:textAlignment w:val="center"/>
              <w:rPr>
                <w:rFonts w:eastAsia="仿宋_GB2312"/>
                <w:color w:val="000000"/>
                <w:sz w:val="22"/>
                <w:szCs w:val="22"/>
              </w:rPr>
            </w:pPr>
            <w:r>
              <w:rPr>
                <w:rFonts w:eastAsia="仿宋_GB2312"/>
                <w:color w:val="000000"/>
                <w:kern w:val="0"/>
                <w:sz w:val="22"/>
                <w:szCs w:val="22"/>
                <w:lang w:bidi="ar"/>
              </w:rPr>
              <w:t>5.1.3</w:t>
            </w:r>
          </w:p>
        </w:tc>
        <w:tc>
          <w:tcPr>
            <w:tcW w:w="2496" w:type="pct"/>
            <w:noWrap w:val="0"/>
            <w:vAlign w:val="center"/>
          </w:tcPr>
          <w:p w14:paraId="0734A162">
            <w:pPr>
              <w:widowControl/>
              <w:jc w:val="left"/>
              <w:textAlignment w:val="center"/>
              <w:rPr>
                <w:rFonts w:eastAsia="仿宋_GB2312"/>
                <w:color w:val="000000"/>
                <w:sz w:val="22"/>
                <w:szCs w:val="22"/>
              </w:rPr>
            </w:pPr>
            <w:r>
              <w:rPr>
                <w:rFonts w:eastAsia="仿宋_GB2312"/>
                <w:color w:val="000000"/>
                <w:kern w:val="0"/>
                <w:sz w:val="22"/>
                <w:szCs w:val="22"/>
                <w:lang w:bidi="ar"/>
              </w:rPr>
              <w:t>软件开发和测试环境包括软硬件设备、开发测试工具、网络等资源以及病毒防护、数据备份与恢复等保证措施。</w:t>
            </w:r>
          </w:p>
        </w:tc>
        <w:tc>
          <w:tcPr>
            <w:tcW w:w="407" w:type="pct"/>
            <w:noWrap w:val="0"/>
            <w:vAlign w:val="center"/>
          </w:tcPr>
          <w:p w14:paraId="504F2ED7">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7D04B6E">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《独立软件附录》2.2.1</w:t>
            </w:r>
          </w:p>
        </w:tc>
      </w:tr>
      <w:tr w14:paraId="26BC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A6F188A">
            <w:pPr>
              <w:jc w:val="center"/>
              <w:rPr>
                <w:rFonts w:eastAsia="仿宋_GB2312"/>
                <w:color w:val="000000"/>
                <w:sz w:val="22"/>
                <w:szCs w:val="22"/>
              </w:rPr>
            </w:pPr>
          </w:p>
        </w:tc>
        <w:tc>
          <w:tcPr>
            <w:tcW w:w="326" w:type="pct"/>
            <w:noWrap w:val="0"/>
            <w:vAlign w:val="center"/>
          </w:tcPr>
          <w:p w14:paraId="3D1E540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53</w:t>
            </w:r>
          </w:p>
        </w:tc>
        <w:tc>
          <w:tcPr>
            <w:tcW w:w="523" w:type="pct"/>
            <w:noWrap w:val="0"/>
            <w:vAlign w:val="center"/>
          </w:tcPr>
          <w:p w14:paraId="4978347B">
            <w:pPr>
              <w:widowControl/>
              <w:jc w:val="center"/>
              <w:textAlignment w:val="center"/>
              <w:rPr>
                <w:rFonts w:eastAsia="仿宋_GB2312"/>
                <w:color w:val="000000"/>
                <w:sz w:val="22"/>
                <w:szCs w:val="22"/>
              </w:rPr>
            </w:pPr>
            <w:r>
              <w:rPr>
                <w:rFonts w:eastAsia="仿宋_GB2312"/>
                <w:color w:val="000000"/>
                <w:kern w:val="0"/>
                <w:sz w:val="22"/>
                <w:szCs w:val="22"/>
                <w:lang w:bidi="ar"/>
              </w:rPr>
              <w:t>5.2.1</w:t>
            </w:r>
          </w:p>
        </w:tc>
        <w:tc>
          <w:tcPr>
            <w:tcW w:w="2496" w:type="pct"/>
            <w:noWrap w:val="0"/>
            <w:vAlign w:val="center"/>
          </w:tcPr>
          <w:p w14:paraId="02E8C09F">
            <w:pPr>
              <w:widowControl/>
              <w:jc w:val="left"/>
              <w:textAlignment w:val="center"/>
              <w:rPr>
                <w:rFonts w:eastAsia="仿宋_GB2312"/>
                <w:color w:val="000000"/>
                <w:sz w:val="22"/>
                <w:szCs w:val="22"/>
              </w:rPr>
            </w:pPr>
            <w:r>
              <w:rPr>
                <w:rFonts w:eastAsia="仿宋_GB2312"/>
                <w:color w:val="000000"/>
                <w:kern w:val="0"/>
                <w:sz w:val="22"/>
                <w:szCs w:val="22"/>
                <w:lang w:bidi="ar"/>
              </w:rPr>
              <w:t>企业应当建立设备和仪器档案，包括但不限于采购、安装、确认等文件和记录。</w:t>
            </w:r>
          </w:p>
        </w:tc>
        <w:tc>
          <w:tcPr>
            <w:tcW w:w="407" w:type="pct"/>
            <w:noWrap w:val="0"/>
            <w:vAlign w:val="center"/>
          </w:tcPr>
          <w:p w14:paraId="1C57723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CB3C827">
            <w:pPr>
              <w:widowControl/>
              <w:jc w:val="center"/>
              <w:textAlignment w:val="center"/>
              <w:rPr>
                <w:rFonts w:eastAsia="仿宋_GB2312"/>
                <w:color w:val="000000"/>
                <w:sz w:val="22"/>
                <w:szCs w:val="22"/>
              </w:rPr>
            </w:pPr>
            <w:r>
              <w:rPr>
                <w:rFonts w:eastAsia="仿宋_GB2312"/>
                <w:color w:val="000000"/>
                <w:kern w:val="0"/>
                <w:sz w:val="22"/>
                <w:szCs w:val="22"/>
                <w:lang w:bidi="ar"/>
              </w:rPr>
              <w:t>《规范》第三十七条</w:t>
            </w:r>
          </w:p>
        </w:tc>
      </w:tr>
      <w:tr w14:paraId="1B68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4B98C563">
            <w:pPr>
              <w:jc w:val="center"/>
              <w:rPr>
                <w:rFonts w:eastAsia="仿宋_GB2312"/>
                <w:color w:val="000000"/>
                <w:sz w:val="22"/>
                <w:szCs w:val="22"/>
              </w:rPr>
            </w:pPr>
          </w:p>
        </w:tc>
        <w:tc>
          <w:tcPr>
            <w:tcW w:w="326" w:type="pct"/>
            <w:noWrap w:val="0"/>
            <w:vAlign w:val="center"/>
          </w:tcPr>
          <w:p w14:paraId="331303A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54</w:t>
            </w:r>
          </w:p>
        </w:tc>
        <w:tc>
          <w:tcPr>
            <w:tcW w:w="523" w:type="pct"/>
            <w:noWrap w:val="0"/>
            <w:vAlign w:val="center"/>
          </w:tcPr>
          <w:p w14:paraId="33A19072">
            <w:pPr>
              <w:widowControl/>
              <w:jc w:val="center"/>
              <w:textAlignment w:val="center"/>
              <w:rPr>
                <w:rFonts w:eastAsia="仿宋_GB2312"/>
                <w:color w:val="000000"/>
                <w:sz w:val="22"/>
                <w:szCs w:val="22"/>
              </w:rPr>
            </w:pPr>
            <w:r>
              <w:rPr>
                <w:rFonts w:eastAsia="仿宋_GB2312"/>
                <w:color w:val="000000"/>
                <w:kern w:val="0"/>
                <w:sz w:val="22"/>
                <w:szCs w:val="22"/>
                <w:lang w:bidi="ar"/>
              </w:rPr>
              <w:t>5.3.1</w:t>
            </w:r>
          </w:p>
        </w:tc>
        <w:tc>
          <w:tcPr>
            <w:tcW w:w="2496" w:type="pct"/>
            <w:noWrap w:val="0"/>
            <w:vAlign w:val="center"/>
          </w:tcPr>
          <w:p w14:paraId="46D068BB">
            <w:pPr>
              <w:widowControl/>
              <w:jc w:val="left"/>
              <w:textAlignment w:val="center"/>
              <w:rPr>
                <w:rFonts w:eastAsia="仿宋_GB2312"/>
                <w:color w:val="000000"/>
                <w:sz w:val="22"/>
                <w:szCs w:val="22"/>
              </w:rPr>
            </w:pPr>
            <w:r>
              <w:rPr>
                <w:rFonts w:eastAsia="仿宋_GB2312"/>
                <w:color w:val="000000"/>
                <w:kern w:val="0"/>
                <w:sz w:val="22"/>
                <w:szCs w:val="22"/>
                <w:lang w:bidi="ar"/>
              </w:rPr>
              <w:t>企业应当建立主要设备和仪器的使用、维护和维修操作规程，保留相关记录，确保相关活动可追溯。</w:t>
            </w:r>
          </w:p>
        </w:tc>
        <w:tc>
          <w:tcPr>
            <w:tcW w:w="407" w:type="pct"/>
            <w:noWrap w:val="0"/>
            <w:vAlign w:val="center"/>
          </w:tcPr>
          <w:p w14:paraId="55B5DC1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7651267">
            <w:pPr>
              <w:widowControl/>
              <w:jc w:val="center"/>
              <w:textAlignment w:val="center"/>
              <w:rPr>
                <w:rFonts w:eastAsia="仿宋_GB2312"/>
                <w:color w:val="000000"/>
                <w:sz w:val="22"/>
                <w:szCs w:val="22"/>
              </w:rPr>
            </w:pPr>
            <w:r>
              <w:rPr>
                <w:rFonts w:eastAsia="仿宋_GB2312"/>
                <w:color w:val="000000"/>
                <w:kern w:val="0"/>
                <w:sz w:val="22"/>
                <w:szCs w:val="22"/>
                <w:lang w:bidi="ar"/>
              </w:rPr>
              <w:t>《规范》第三十八条</w:t>
            </w:r>
          </w:p>
        </w:tc>
      </w:tr>
      <w:tr w14:paraId="4E8B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20B47645">
            <w:pPr>
              <w:jc w:val="center"/>
              <w:rPr>
                <w:rFonts w:eastAsia="仿宋_GB2312"/>
                <w:color w:val="000000"/>
                <w:sz w:val="22"/>
                <w:szCs w:val="22"/>
              </w:rPr>
            </w:pPr>
          </w:p>
        </w:tc>
        <w:tc>
          <w:tcPr>
            <w:tcW w:w="326" w:type="pct"/>
            <w:noWrap w:val="0"/>
            <w:vAlign w:val="center"/>
          </w:tcPr>
          <w:p w14:paraId="78E59AE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55</w:t>
            </w:r>
          </w:p>
        </w:tc>
        <w:tc>
          <w:tcPr>
            <w:tcW w:w="523" w:type="pct"/>
            <w:noWrap w:val="0"/>
            <w:vAlign w:val="center"/>
          </w:tcPr>
          <w:p w14:paraId="764FB198">
            <w:pPr>
              <w:widowControl/>
              <w:jc w:val="center"/>
              <w:textAlignment w:val="center"/>
              <w:rPr>
                <w:rFonts w:eastAsia="仿宋_GB2312"/>
                <w:color w:val="000000"/>
                <w:sz w:val="22"/>
                <w:szCs w:val="22"/>
              </w:rPr>
            </w:pPr>
            <w:r>
              <w:rPr>
                <w:rFonts w:eastAsia="仿宋_GB2312"/>
                <w:color w:val="000000"/>
                <w:kern w:val="0"/>
                <w:sz w:val="22"/>
                <w:szCs w:val="22"/>
                <w:lang w:bidi="ar"/>
              </w:rPr>
              <w:t>5.3.2</w:t>
            </w:r>
          </w:p>
        </w:tc>
        <w:tc>
          <w:tcPr>
            <w:tcW w:w="2496" w:type="pct"/>
            <w:noWrap w:val="0"/>
            <w:vAlign w:val="center"/>
          </w:tcPr>
          <w:p w14:paraId="4FFAEA34">
            <w:pPr>
              <w:widowControl/>
              <w:jc w:val="left"/>
              <w:textAlignment w:val="center"/>
              <w:rPr>
                <w:rFonts w:eastAsia="仿宋_GB2312"/>
                <w:color w:val="000000"/>
                <w:sz w:val="22"/>
                <w:szCs w:val="22"/>
              </w:rPr>
            </w:pPr>
            <w:r>
              <w:rPr>
                <w:rFonts w:eastAsia="仿宋_GB2312"/>
                <w:color w:val="000000"/>
                <w:kern w:val="0"/>
                <w:sz w:val="22"/>
                <w:szCs w:val="22"/>
                <w:lang w:bidi="ar"/>
              </w:rPr>
              <w:t>软件开发和测试环境维护应当形成文件，确定软件开发和测试环境定期验证、更新升级、病毒防护等活动要求，保持相关记录。</w:t>
            </w:r>
          </w:p>
        </w:tc>
        <w:tc>
          <w:tcPr>
            <w:tcW w:w="407" w:type="pct"/>
            <w:noWrap w:val="0"/>
            <w:vAlign w:val="center"/>
          </w:tcPr>
          <w:p w14:paraId="6E5E50E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64B0C74">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《独立软件附录》2.2.2</w:t>
            </w:r>
          </w:p>
        </w:tc>
      </w:tr>
      <w:tr w14:paraId="37EB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BEF29E8">
            <w:pPr>
              <w:jc w:val="center"/>
              <w:rPr>
                <w:rFonts w:eastAsia="仿宋_GB2312"/>
                <w:color w:val="000000"/>
                <w:sz w:val="22"/>
                <w:szCs w:val="22"/>
              </w:rPr>
            </w:pPr>
          </w:p>
        </w:tc>
        <w:tc>
          <w:tcPr>
            <w:tcW w:w="326" w:type="pct"/>
            <w:noWrap w:val="0"/>
            <w:vAlign w:val="center"/>
          </w:tcPr>
          <w:p w14:paraId="44EF236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56</w:t>
            </w:r>
          </w:p>
        </w:tc>
        <w:tc>
          <w:tcPr>
            <w:tcW w:w="523" w:type="pct"/>
            <w:noWrap w:val="0"/>
            <w:vAlign w:val="center"/>
          </w:tcPr>
          <w:p w14:paraId="4CBDE1A3">
            <w:pPr>
              <w:widowControl/>
              <w:jc w:val="center"/>
              <w:textAlignment w:val="center"/>
              <w:rPr>
                <w:rFonts w:eastAsia="仿宋_GB2312"/>
                <w:color w:val="000000"/>
                <w:sz w:val="22"/>
                <w:szCs w:val="22"/>
              </w:rPr>
            </w:pPr>
            <w:r>
              <w:rPr>
                <w:rFonts w:eastAsia="仿宋_GB2312"/>
                <w:color w:val="000000"/>
                <w:kern w:val="0"/>
                <w:sz w:val="22"/>
                <w:szCs w:val="22"/>
                <w:lang w:bidi="ar"/>
              </w:rPr>
              <w:t>5.4.1</w:t>
            </w:r>
          </w:p>
        </w:tc>
        <w:tc>
          <w:tcPr>
            <w:tcW w:w="2496" w:type="pct"/>
            <w:noWrap w:val="0"/>
            <w:vAlign w:val="center"/>
          </w:tcPr>
          <w:p w14:paraId="2995B4D2">
            <w:pPr>
              <w:widowControl/>
              <w:jc w:val="left"/>
              <w:textAlignment w:val="center"/>
              <w:rPr>
                <w:rFonts w:eastAsia="仿宋_GB2312"/>
                <w:color w:val="000000"/>
                <w:sz w:val="22"/>
                <w:szCs w:val="22"/>
              </w:rPr>
            </w:pPr>
            <w:r>
              <w:rPr>
                <w:rFonts w:eastAsia="仿宋_GB2312"/>
                <w:color w:val="000000"/>
                <w:kern w:val="0"/>
                <w:sz w:val="22"/>
                <w:szCs w:val="22"/>
                <w:lang w:bidi="ar"/>
              </w:rPr>
              <w:t>企业应当标明主要设备、仪器和工装夹具的编号与名称。出现异常情况时，应当配备异常状态标识，防止非预期使用。</w:t>
            </w:r>
          </w:p>
        </w:tc>
        <w:tc>
          <w:tcPr>
            <w:tcW w:w="407" w:type="pct"/>
            <w:noWrap w:val="0"/>
            <w:vAlign w:val="center"/>
          </w:tcPr>
          <w:p w14:paraId="6B2974C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C0C20B9">
            <w:pPr>
              <w:widowControl/>
              <w:jc w:val="center"/>
              <w:textAlignment w:val="center"/>
              <w:rPr>
                <w:rFonts w:eastAsia="仿宋_GB2312"/>
                <w:color w:val="000000"/>
                <w:sz w:val="22"/>
                <w:szCs w:val="22"/>
              </w:rPr>
            </w:pPr>
            <w:r>
              <w:rPr>
                <w:rFonts w:eastAsia="仿宋_GB2312"/>
                <w:color w:val="000000"/>
                <w:kern w:val="0"/>
                <w:sz w:val="22"/>
                <w:szCs w:val="22"/>
                <w:lang w:bidi="ar"/>
              </w:rPr>
              <w:t>《规范》第三十九条</w:t>
            </w:r>
          </w:p>
        </w:tc>
      </w:tr>
      <w:tr w14:paraId="6396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589" w:type="pct"/>
            <w:vMerge w:val="continue"/>
            <w:noWrap w:val="0"/>
            <w:vAlign w:val="center"/>
          </w:tcPr>
          <w:p w14:paraId="2E98EC29">
            <w:pPr>
              <w:jc w:val="center"/>
              <w:rPr>
                <w:rFonts w:eastAsia="仿宋_GB2312"/>
                <w:color w:val="000000"/>
                <w:sz w:val="22"/>
                <w:szCs w:val="22"/>
              </w:rPr>
            </w:pPr>
          </w:p>
        </w:tc>
        <w:tc>
          <w:tcPr>
            <w:tcW w:w="326" w:type="pct"/>
            <w:noWrap w:val="0"/>
            <w:vAlign w:val="center"/>
          </w:tcPr>
          <w:p w14:paraId="2385B5C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57</w:t>
            </w:r>
          </w:p>
        </w:tc>
        <w:tc>
          <w:tcPr>
            <w:tcW w:w="523" w:type="pct"/>
            <w:noWrap w:val="0"/>
            <w:vAlign w:val="center"/>
          </w:tcPr>
          <w:p w14:paraId="4002D3F6">
            <w:pPr>
              <w:widowControl/>
              <w:jc w:val="center"/>
              <w:textAlignment w:val="center"/>
              <w:rPr>
                <w:rFonts w:eastAsia="仿宋_GB2312"/>
                <w:color w:val="000000"/>
                <w:sz w:val="22"/>
                <w:szCs w:val="22"/>
              </w:rPr>
            </w:pPr>
            <w:r>
              <w:rPr>
                <w:rFonts w:eastAsia="仿宋_GB2312"/>
                <w:color w:val="000000"/>
                <w:kern w:val="0"/>
                <w:sz w:val="22"/>
                <w:szCs w:val="22"/>
                <w:lang w:bidi="ar"/>
              </w:rPr>
              <w:t>5.5.1</w:t>
            </w:r>
          </w:p>
        </w:tc>
        <w:tc>
          <w:tcPr>
            <w:tcW w:w="2496" w:type="pct"/>
            <w:noWrap w:val="0"/>
            <w:vAlign w:val="center"/>
          </w:tcPr>
          <w:p w14:paraId="512A9E68">
            <w:pPr>
              <w:widowControl/>
              <w:jc w:val="left"/>
              <w:textAlignment w:val="center"/>
              <w:rPr>
                <w:rFonts w:eastAsia="仿宋_GB2312"/>
                <w:color w:val="000000"/>
                <w:sz w:val="22"/>
                <w:szCs w:val="22"/>
              </w:rPr>
            </w:pPr>
            <w:r>
              <w:rPr>
                <w:rFonts w:eastAsia="仿宋_GB2312"/>
                <w:color w:val="000000"/>
                <w:kern w:val="0"/>
                <w:sz w:val="22"/>
                <w:szCs w:val="22"/>
                <w:lang w:bidi="ar"/>
              </w:rPr>
              <w:t>企业应当按照操作规程和校准或者检定计划，定期对主要设备和仪器进行校准或者检定，校准的量程范围应当涵盖实际使用范围。</w:t>
            </w:r>
          </w:p>
        </w:tc>
        <w:tc>
          <w:tcPr>
            <w:tcW w:w="407" w:type="pct"/>
            <w:noWrap w:val="0"/>
            <w:vAlign w:val="center"/>
          </w:tcPr>
          <w:p w14:paraId="7253B2D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ACBAF44">
            <w:pPr>
              <w:widowControl/>
              <w:jc w:val="center"/>
              <w:textAlignment w:val="center"/>
              <w:rPr>
                <w:rFonts w:eastAsia="仿宋_GB2312"/>
                <w:color w:val="000000"/>
                <w:sz w:val="22"/>
                <w:szCs w:val="22"/>
              </w:rPr>
            </w:pPr>
            <w:r>
              <w:rPr>
                <w:rFonts w:eastAsia="仿宋_GB2312"/>
                <w:color w:val="000000"/>
                <w:kern w:val="0"/>
                <w:sz w:val="22"/>
                <w:szCs w:val="22"/>
                <w:lang w:bidi="ar"/>
              </w:rPr>
              <w:t>《规范》第四十条</w:t>
            </w:r>
          </w:p>
        </w:tc>
      </w:tr>
      <w:tr w14:paraId="629E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589" w:type="pct"/>
            <w:vMerge w:val="continue"/>
            <w:noWrap w:val="0"/>
            <w:vAlign w:val="center"/>
          </w:tcPr>
          <w:p w14:paraId="1CA7FD33">
            <w:pPr>
              <w:jc w:val="center"/>
              <w:rPr>
                <w:rFonts w:eastAsia="仿宋_GB2312"/>
                <w:color w:val="000000"/>
                <w:sz w:val="22"/>
                <w:szCs w:val="22"/>
              </w:rPr>
            </w:pPr>
          </w:p>
        </w:tc>
        <w:tc>
          <w:tcPr>
            <w:tcW w:w="326" w:type="pct"/>
            <w:noWrap w:val="0"/>
            <w:vAlign w:val="center"/>
          </w:tcPr>
          <w:p w14:paraId="517E068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58</w:t>
            </w:r>
          </w:p>
        </w:tc>
        <w:tc>
          <w:tcPr>
            <w:tcW w:w="523" w:type="pct"/>
            <w:noWrap w:val="0"/>
            <w:vAlign w:val="center"/>
          </w:tcPr>
          <w:p w14:paraId="0407BA26">
            <w:pPr>
              <w:widowControl/>
              <w:jc w:val="center"/>
              <w:textAlignment w:val="center"/>
              <w:rPr>
                <w:rFonts w:eastAsia="仿宋_GB2312"/>
                <w:color w:val="000000"/>
                <w:sz w:val="22"/>
                <w:szCs w:val="22"/>
              </w:rPr>
            </w:pPr>
            <w:r>
              <w:rPr>
                <w:rFonts w:eastAsia="仿宋_GB2312"/>
                <w:color w:val="000000"/>
                <w:kern w:val="0"/>
                <w:sz w:val="22"/>
                <w:szCs w:val="22"/>
                <w:lang w:bidi="ar"/>
              </w:rPr>
              <w:t>5.5.2</w:t>
            </w:r>
          </w:p>
        </w:tc>
        <w:tc>
          <w:tcPr>
            <w:tcW w:w="2496" w:type="pct"/>
            <w:noWrap w:val="0"/>
            <w:vAlign w:val="center"/>
          </w:tcPr>
          <w:p w14:paraId="5DA209B1">
            <w:pPr>
              <w:widowControl/>
              <w:jc w:val="left"/>
              <w:textAlignment w:val="center"/>
              <w:rPr>
                <w:rFonts w:eastAsia="仿宋_GB2312"/>
                <w:color w:val="000000"/>
                <w:sz w:val="22"/>
                <w:szCs w:val="22"/>
              </w:rPr>
            </w:pPr>
            <w:r>
              <w:rPr>
                <w:rFonts w:eastAsia="仿宋_GB2312"/>
                <w:color w:val="000000"/>
                <w:kern w:val="0"/>
                <w:sz w:val="22"/>
                <w:szCs w:val="22"/>
                <w:lang w:bidi="ar"/>
              </w:rPr>
              <w:t>企业应当配备适当的计量器具，计量器具的量程和精度应当满足使用要求，并标明校准或者检定有效期。</w:t>
            </w:r>
          </w:p>
        </w:tc>
        <w:tc>
          <w:tcPr>
            <w:tcW w:w="407" w:type="pct"/>
            <w:noWrap w:val="0"/>
            <w:vAlign w:val="center"/>
          </w:tcPr>
          <w:p w14:paraId="442BC29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DFBCA41">
            <w:pPr>
              <w:widowControl/>
              <w:jc w:val="center"/>
              <w:textAlignment w:val="center"/>
              <w:rPr>
                <w:rFonts w:eastAsia="仿宋_GB2312"/>
                <w:color w:val="000000"/>
                <w:sz w:val="22"/>
                <w:szCs w:val="22"/>
              </w:rPr>
            </w:pPr>
            <w:r>
              <w:rPr>
                <w:rFonts w:eastAsia="仿宋_GB2312"/>
                <w:color w:val="000000"/>
                <w:kern w:val="0"/>
                <w:sz w:val="22"/>
                <w:szCs w:val="22"/>
                <w:lang w:bidi="ar"/>
              </w:rPr>
              <w:t>《规范》第四十条</w:t>
            </w:r>
          </w:p>
        </w:tc>
      </w:tr>
      <w:tr w14:paraId="5315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F2406DA">
            <w:pPr>
              <w:jc w:val="center"/>
              <w:rPr>
                <w:rFonts w:eastAsia="仿宋_GB2312"/>
                <w:color w:val="000000"/>
                <w:sz w:val="22"/>
                <w:szCs w:val="22"/>
              </w:rPr>
            </w:pPr>
          </w:p>
        </w:tc>
        <w:tc>
          <w:tcPr>
            <w:tcW w:w="326" w:type="pct"/>
            <w:noWrap w:val="0"/>
            <w:vAlign w:val="center"/>
          </w:tcPr>
          <w:p w14:paraId="04C0A18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59</w:t>
            </w:r>
          </w:p>
        </w:tc>
        <w:tc>
          <w:tcPr>
            <w:tcW w:w="523" w:type="pct"/>
            <w:noWrap w:val="0"/>
            <w:vAlign w:val="center"/>
          </w:tcPr>
          <w:p w14:paraId="4CFDC95C">
            <w:pPr>
              <w:widowControl/>
              <w:jc w:val="center"/>
              <w:textAlignment w:val="center"/>
              <w:rPr>
                <w:rFonts w:eastAsia="仿宋_GB2312"/>
                <w:color w:val="000000"/>
                <w:sz w:val="22"/>
                <w:szCs w:val="22"/>
              </w:rPr>
            </w:pPr>
            <w:r>
              <w:rPr>
                <w:rFonts w:eastAsia="仿宋_GB2312"/>
                <w:color w:val="000000"/>
                <w:kern w:val="0"/>
                <w:sz w:val="22"/>
                <w:szCs w:val="22"/>
                <w:lang w:bidi="ar"/>
              </w:rPr>
              <w:t>5.5.3</w:t>
            </w:r>
          </w:p>
        </w:tc>
        <w:tc>
          <w:tcPr>
            <w:tcW w:w="2496" w:type="pct"/>
            <w:noWrap w:val="0"/>
            <w:vAlign w:val="center"/>
          </w:tcPr>
          <w:p w14:paraId="0763C027">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企业应当保留校准或者检定记录。</w:t>
            </w:r>
          </w:p>
        </w:tc>
        <w:tc>
          <w:tcPr>
            <w:tcW w:w="407" w:type="pct"/>
            <w:noWrap w:val="0"/>
            <w:vAlign w:val="center"/>
          </w:tcPr>
          <w:p w14:paraId="7E17CE31">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D18039F">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《规范》第四十条</w:t>
            </w:r>
          </w:p>
        </w:tc>
      </w:tr>
      <w:tr w14:paraId="703F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051F7F2F">
            <w:pPr>
              <w:jc w:val="center"/>
              <w:rPr>
                <w:rFonts w:eastAsia="仿宋_GB2312"/>
                <w:color w:val="000000"/>
                <w:sz w:val="22"/>
                <w:szCs w:val="22"/>
              </w:rPr>
            </w:pPr>
          </w:p>
        </w:tc>
        <w:tc>
          <w:tcPr>
            <w:tcW w:w="326" w:type="pct"/>
            <w:noWrap w:val="0"/>
            <w:vAlign w:val="center"/>
          </w:tcPr>
          <w:p w14:paraId="7A7843F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60</w:t>
            </w:r>
          </w:p>
        </w:tc>
        <w:tc>
          <w:tcPr>
            <w:tcW w:w="523" w:type="pct"/>
            <w:noWrap w:val="0"/>
            <w:vAlign w:val="center"/>
          </w:tcPr>
          <w:p w14:paraId="35D36862">
            <w:pPr>
              <w:widowControl/>
              <w:jc w:val="center"/>
              <w:textAlignment w:val="center"/>
              <w:rPr>
                <w:rFonts w:eastAsia="仿宋_GB2312"/>
                <w:color w:val="000000"/>
                <w:sz w:val="22"/>
                <w:szCs w:val="22"/>
              </w:rPr>
            </w:pPr>
            <w:r>
              <w:rPr>
                <w:rFonts w:eastAsia="仿宋_GB2312"/>
                <w:color w:val="000000"/>
                <w:kern w:val="0"/>
                <w:sz w:val="22"/>
                <w:szCs w:val="22"/>
                <w:lang w:bidi="ar"/>
              </w:rPr>
              <w:t>5.6.1</w:t>
            </w:r>
          </w:p>
        </w:tc>
        <w:tc>
          <w:tcPr>
            <w:tcW w:w="2496" w:type="pct"/>
            <w:noWrap w:val="0"/>
            <w:vAlign w:val="center"/>
          </w:tcPr>
          <w:p w14:paraId="49074AD9">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企业应当对经过改造或者重大维修的设备和仪器进行再确认，符合要求后方可使用。</w:t>
            </w:r>
          </w:p>
        </w:tc>
        <w:tc>
          <w:tcPr>
            <w:tcW w:w="407" w:type="pct"/>
            <w:noWrap w:val="0"/>
            <w:vAlign w:val="center"/>
          </w:tcPr>
          <w:p w14:paraId="4B708026">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AD30FEC">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《规范》第四十一条</w:t>
            </w:r>
          </w:p>
        </w:tc>
      </w:tr>
      <w:tr w14:paraId="1BC0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restart"/>
            <w:noWrap w:val="0"/>
            <w:vAlign w:val="center"/>
          </w:tcPr>
          <w:p w14:paraId="62D19207">
            <w:pPr>
              <w:widowControl/>
              <w:jc w:val="center"/>
              <w:textAlignment w:val="center"/>
              <w:rPr>
                <w:rFonts w:eastAsia="仿宋_GB2312"/>
                <w:color w:val="000000"/>
                <w:sz w:val="22"/>
                <w:szCs w:val="22"/>
              </w:rPr>
            </w:pPr>
            <w:r>
              <w:rPr>
                <w:rFonts w:eastAsia="仿宋_GB2312"/>
                <w:color w:val="000000"/>
                <w:kern w:val="0"/>
                <w:sz w:val="22"/>
                <w:szCs w:val="22"/>
                <w:lang w:bidi="ar"/>
              </w:rPr>
              <w:t>第六章 文件和数据管理</w:t>
            </w:r>
          </w:p>
        </w:tc>
        <w:tc>
          <w:tcPr>
            <w:tcW w:w="326" w:type="pct"/>
            <w:noWrap w:val="0"/>
            <w:vAlign w:val="center"/>
          </w:tcPr>
          <w:p w14:paraId="52AA021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61</w:t>
            </w:r>
          </w:p>
        </w:tc>
        <w:tc>
          <w:tcPr>
            <w:tcW w:w="523" w:type="pct"/>
            <w:noWrap w:val="0"/>
            <w:vAlign w:val="center"/>
          </w:tcPr>
          <w:p w14:paraId="6C75C9F8">
            <w:pPr>
              <w:widowControl/>
              <w:jc w:val="center"/>
              <w:textAlignment w:val="center"/>
              <w:rPr>
                <w:rFonts w:eastAsia="仿宋_GB2312"/>
                <w:color w:val="000000"/>
                <w:sz w:val="22"/>
                <w:szCs w:val="22"/>
              </w:rPr>
            </w:pPr>
            <w:r>
              <w:rPr>
                <w:rFonts w:eastAsia="仿宋_GB2312"/>
                <w:color w:val="000000"/>
                <w:kern w:val="0"/>
                <w:sz w:val="22"/>
                <w:szCs w:val="22"/>
                <w:lang w:bidi="ar"/>
              </w:rPr>
              <w:t>6.1.1</w:t>
            </w:r>
          </w:p>
        </w:tc>
        <w:tc>
          <w:tcPr>
            <w:tcW w:w="2496" w:type="pct"/>
            <w:noWrap w:val="0"/>
            <w:vAlign w:val="center"/>
          </w:tcPr>
          <w:p w14:paraId="1741EF96">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企业应当建立健全质量管理体系文件，包括质量方针和质量目标、质量手册、程序文件、技术文件和记录，以及法规要求的其他文件。</w:t>
            </w:r>
          </w:p>
        </w:tc>
        <w:tc>
          <w:tcPr>
            <w:tcW w:w="407" w:type="pct"/>
            <w:noWrap w:val="0"/>
            <w:vAlign w:val="center"/>
          </w:tcPr>
          <w:p w14:paraId="150EB235">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2F21CE7">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《规范》第四十二条</w:t>
            </w:r>
          </w:p>
        </w:tc>
      </w:tr>
      <w:tr w14:paraId="7DD5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2F5B51B5">
            <w:pPr>
              <w:jc w:val="center"/>
              <w:rPr>
                <w:rFonts w:eastAsia="仿宋_GB2312"/>
                <w:color w:val="000000"/>
                <w:sz w:val="22"/>
                <w:szCs w:val="22"/>
              </w:rPr>
            </w:pPr>
          </w:p>
        </w:tc>
        <w:tc>
          <w:tcPr>
            <w:tcW w:w="326" w:type="pct"/>
            <w:noWrap w:val="0"/>
            <w:vAlign w:val="center"/>
          </w:tcPr>
          <w:p w14:paraId="316C907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62</w:t>
            </w:r>
          </w:p>
        </w:tc>
        <w:tc>
          <w:tcPr>
            <w:tcW w:w="523" w:type="pct"/>
            <w:noWrap w:val="0"/>
            <w:vAlign w:val="center"/>
          </w:tcPr>
          <w:p w14:paraId="2061F59C">
            <w:pPr>
              <w:widowControl/>
              <w:jc w:val="center"/>
              <w:textAlignment w:val="center"/>
              <w:rPr>
                <w:rFonts w:eastAsia="仿宋_GB2312"/>
                <w:color w:val="000000"/>
                <w:sz w:val="22"/>
                <w:szCs w:val="22"/>
              </w:rPr>
            </w:pPr>
            <w:r>
              <w:rPr>
                <w:rFonts w:eastAsia="仿宋_GB2312"/>
                <w:color w:val="000000"/>
                <w:kern w:val="0"/>
                <w:sz w:val="22"/>
                <w:szCs w:val="22"/>
                <w:lang w:bidi="ar"/>
              </w:rPr>
              <w:t>6.1.2</w:t>
            </w:r>
          </w:p>
        </w:tc>
        <w:tc>
          <w:tcPr>
            <w:tcW w:w="2496" w:type="pct"/>
            <w:noWrap w:val="0"/>
            <w:vAlign w:val="center"/>
          </w:tcPr>
          <w:p w14:paraId="4BF7B595">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质量手册应当对质量管理体系作出规定。程序文件应当根据产品设计开发、生产和质量管理等活动的实际需要制定，包含本规范所规定的各项程序。</w:t>
            </w:r>
          </w:p>
        </w:tc>
        <w:tc>
          <w:tcPr>
            <w:tcW w:w="407" w:type="pct"/>
            <w:noWrap w:val="0"/>
            <w:vAlign w:val="center"/>
          </w:tcPr>
          <w:p w14:paraId="58FA365D">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133B0F7">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《规范》第四十二条</w:t>
            </w:r>
          </w:p>
        </w:tc>
      </w:tr>
      <w:tr w14:paraId="58FA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B337481">
            <w:pPr>
              <w:jc w:val="center"/>
              <w:rPr>
                <w:rFonts w:eastAsia="仿宋_GB2312"/>
                <w:color w:val="000000"/>
                <w:sz w:val="22"/>
                <w:szCs w:val="22"/>
              </w:rPr>
            </w:pPr>
          </w:p>
        </w:tc>
        <w:tc>
          <w:tcPr>
            <w:tcW w:w="326" w:type="pct"/>
            <w:noWrap w:val="0"/>
            <w:vAlign w:val="center"/>
          </w:tcPr>
          <w:p w14:paraId="7AFBA6B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63</w:t>
            </w:r>
          </w:p>
        </w:tc>
        <w:tc>
          <w:tcPr>
            <w:tcW w:w="523" w:type="pct"/>
            <w:noWrap w:val="0"/>
            <w:vAlign w:val="center"/>
          </w:tcPr>
          <w:p w14:paraId="5A28066A">
            <w:pPr>
              <w:widowControl/>
              <w:jc w:val="center"/>
              <w:textAlignment w:val="center"/>
              <w:rPr>
                <w:rFonts w:eastAsia="仿宋_GB2312"/>
                <w:color w:val="000000"/>
                <w:sz w:val="22"/>
                <w:szCs w:val="22"/>
              </w:rPr>
            </w:pPr>
            <w:r>
              <w:rPr>
                <w:rFonts w:eastAsia="仿宋_GB2312"/>
                <w:color w:val="000000"/>
                <w:kern w:val="0"/>
                <w:sz w:val="22"/>
                <w:szCs w:val="22"/>
                <w:lang w:bidi="ar"/>
              </w:rPr>
              <w:t>6.1.3</w:t>
            </w:r>
          </w:p>
        </w:tc>
        <w:tc>
          <w:tcPr>
            <w:tcW w:w="2496" w:type="pct"/>
            <w:noWrap w:val="0"/>
            <w:vAlign w:val="center"/>
          </w:tcPr>
          <w:p w14:paraId="2A082E6E">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技术文件应当包括产品技术要求以及相关标准、生产工艺规程、作业指导书、检验和试验操作规程、安装和服务操作规程等。</w:t>
            </w:r>
          </w:p>
        </w:tc>
        <w:tc>
          <w:tcPr>
            <w:tcW w:w="407" w:type="pct"/>
            <w:noWrap w:val="0"/>
            <w:vAlign w:val="center"/>
          </w:tcPr>
          <w:p w14:paraId="629A5FB4">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F9DBA98">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《规范》第四十二条</w:t>
            </w:r>
          </w:p>
        </w:tc>
      </w:tr>
      <w:tr w14:paraId="2292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0" w:hRule="atLeast"/>
          <w:jc w:val="center"/>
        </w:trPr>
        <w:tc>
          <w:tcPr>
            <w:tcW w:w="589" w:type="pct"/>
            <w:vMerge w:val="continue"/>
            <w:noWrap w:val="0"/>
            <w:vAlign w:val="center"/>
          </w:tcPr>
          <w:p w14:paraId="2C138007">
            <w:pPr>
              <w:jc w:val="center"/>
              <w:rPr>
                <w:rFonts w:eastAsia="仿宋_GB2312"/>
                <w:color w:val="000000"/>
                <w:sz w:val="22"/>
                <w:szCs w:val="22"/>
              </w:rPr>
            </w:pPr>
          </w:p>
        </w:tc>
        <w:tc>
          <w:tcPr>
            <w:tcW w:w="326" w:type="pct"/>
            <w:noWrap w:val="0"/>
            <w:vAlign w:val="center"/>
          </w:tcPr>
          <w:p w14:paraId="76015DC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64</w:t>
            </w:r>
          </w:p>
        </w:tc>
        <w:tc>
          <w:tcPr>
            <w:tcW w:w="523" w:type="pct"/>
            <w:noWrap w:val="0"/>
            <w:vAlign w:val="center"/>
          </w:tcPr>
          <w:p w14:paraId="1D1640B7">
            <w:pPr>
              <w:widowControl/>
              <w:jc w:val="center"/>
              <w:textAlignment w:val="center"/>
              <w:rPr>
                <w:rFonts w:eastAsia="仿宋_GB2312"/>
                <w:color w:val="000000"/>
                <w:sz w:val="22"/>
                <w:szCs w:val="22"/>
              </w:rPr>
            </w:pPr>
            <w:r>
              <w:rPr>
                <w:rFonts w:eastAsia="仿宋_GB2312"/>
                <w:color w:val="000000"/>
                <w:kern w:val="0"/>
                <w:sz w:val="22"/>
                <w:szCs w:val="22"/>
                <w:lang w:bidi="ar"/>
              </w:rPr>
              <w:t>6.2.1</w:t>
            </w:r>
          </w:p>
        </w:tc>
        <w:tc>
          <w:tcPr>
            <w:tcW w:w="2496" w:type="pct"/>
            <w:noWrap w:val="0"/>
            <w:vAlign w:val="center"/>
          </w:tcPr>
          <w:p w14:paraId="2F42BB6A">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企业应当建立文件控制程序，系统设计、制定、审核、批准、发放和保存质量管理体系文件，并符合下列要求：</w:t>
            </w:r>
            <w:r>
              <w:rPr>
                <w:rFonts w:eastAsia="仿宋_GB2312"/>
                <w:color w:val="000000"/>
                <w:kern w:val="0"/>
                <w:sz w:val="22"/>
                <w:szCs w:val="22"/>
                <w:lang w:bidi="ar"/>
              </w:rPr>
              <w:br w:type="textWrapping"/>
            </w:r>
            <w:r>
              <w:rPr>
                <w:rFonts w:eastAsia="仿宋_GB2312"/>
                <w:color w:val="000000"/>
                <w:kern w:val="0"/>
                <w:sz w:val="22"/>
                <w:szCs w:val="22"/>
                <w:lang w:bidi="ar"/>
              </w:rPr>
              <w:t>（一）文件的起草、修订、审核、批准、替换或者撤销、复制、保管和销毁等应当按照文件控制程序管理，并有相应分发、替换或者撤销、销毁记录；应当根据文件不同用途与类型，明确适宜受控方法；</w:t>
            </w:r>
            <w:r>
              <w:rPr>
                <w:rFonts w:eastAsia="仿宋_GB2312"/>
                <w:color w:val="000000"/>
                <w:kern w:val="0"/>
                <w:sz w:val="22"/>
                <w:szCs w:val="22"/>
                <w:lang w:bidi="ar"/>
              </w:rPr>
              <w:br w:type="textWrapping"/>
            </w:r>
            <w:r>
              <w:rPr>
                <w:rFonts w:eastAsia="仿宋_GB2312"/>
                <w:color w:val="000000"/>
                <w:kern w:val="0"/>
                <w:sz w:val="22"/>
                <w:szCs w:val="22"/>
                <w:lang w:bidi="ar"/>
              </w:rPr>
              <w:t>（二）修订或者更新文件时，应当经过评审和批准，并确保能够识别文件修订或者更新状态；</w:t>
            </w:r>
            <w:r>
              <w:rPr>
                <w:rFonts w:eastAsia="仿宋_GB2312"/>
                <w:color w:val="000000"/>
                <w:kern w:val="0"/>
                <w:sz w:val="22"/>
                <w:szCs w:val="22"/>
                <w:lang w:bidi="ar"/>
              </w:rPr>
              <w:br w:type="textWrapping"/>
            </w:r>
            <w:r>
              <w:rPr>
                <w:rFonts w:eastAsia="仿宋_GB2312"/>
                <w:color w:val="000000"/>
                <w:kern w:val="0"/>
                <w:sz w:val="22"/>
                <w:szCs w:val="22"/>
                <w:lang w:bidi="ar"/>
              </w:rPr>
              <w:t>（三）分发和使用的文件应当为适宜文本，已撤销或者作废文件应当进行标识，防止误用；</w:t>
            </w:r>
            <w:r>
              <w:rPr>
                <w:rFonts w:eastAsia="仿宋_GB2312"/>
                <w:color w:val="000000"/>
                <w:kern w:val="0"/>
                <w:sz w:val="22"/>
                <w:szCs w:val="22"/>
                <w:lang w:bidi="ar"/>
              </w:rPr>
              <w:br w:type="textWrapping"/>
            </w:r>
            <w:r>
              <w:rPr>
                <w:rFonts w:eastAsia="仿宋_GB2312"/>
                <w:color w:val="000000"/>
                <w:kern w:val="0"/>
                <w:sz w:val="22"/>
                <w:szCs w:val="22"/>
                <w:lang w:bidi="ar"/>
              </w:rPr>
              <w:t>（四）明确必要的质量管理体系文件如技术文件等作废后的保存期限，以满足产品维修和产品质量责任追溯等需要。</w:t>
            </w:r>
          </w:p>
        </w:tc>
        <w:tc>
          <w:tcPr>
            <w:tcW w:w="407" w:type="pct"/>
            <w:noWrap w:val="0"/>
            <w:vAlign w:val="center"/>
          </w:tcPr>
          <w:p w14:paraId="76D5A68B">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6E5BCF3">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《规范》第四十三条</w:t>
            </w:r>
          </w:p>
        </w:tc>
      </w:tr>
      <w:tr w14:paraId="0F22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8B153D9">
            <w:pPr>
              <w:jc w:val="center"/>
              <w:rPr>
                <w:rFonts w:eastAsia="仿宋_GB2312"/>
                <w:color w:val="000000"/>
                <w:sz w:val="22"/>
                <w:szCs w:val="22"/>
              </w:rPr>
            </w:pPr>
          </w:p>
        </w:tc>
        <w:tc>
          <w:tcPr>
            <w:tcW w:w="326" w:type="pct"/>
            <w:noWrap w:val="0"/>
            <w:vAlign w:val="center"/>
          </w:tcPr>
          <w:p w14:paraId="03AAAA4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65</w:t>
            </w:r>
          </w:p>
        </w:tc>
        <w:tc>
          <w:tcPr>
            <w:tcW w:w="523" w:type="pct"/>
            <w:noWrap w:val="0"/>
            <w:vAlign w:val="center"/>
          </w:tcPr>
          <w:p w14:paraId="4DA6C8F8">
            <w:pPr>
              <w:widowControl/>
              <w:jc w:val="center"/>
              <w:textAlignment w:val="center"/>
              <w:rPr>
                <w:rFonts w:eastAsia="仿宋_GB2312"/>
                <w:color w:val="000000"/>
                <w:sz w:val="22"/>
                <w:szCs w:val="22"/>
              </w:rPr>
            </w:pPr>
            <w:r>
              <w:rPr>
                <w:rFonts w:eastAsia="仿宋_GB2312"/>
                <w:color w:val="000000"/>
                <w:kern w:val="0"/>
                <w:sz w:val="22"/>
                <w:szCs w:val="22"/>
                <w:lang w:bidi="ar"/>
              </w:rPr>
              <w:t>6.3.1</w:t>
            </w:r>
          </w:p>
        </w:tc>
        <w:tc>
          <w:tcPr>
            <w:tcW w:w="2496" w:type="pct"/>
            <w:noWrap w:val="0"/>
            <w:vAlign w:val="center"/>
          </w:tcPr>
          <w:p w14:paraId="5AAF5EB4">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企业应当指定部门或者人员负责识别医疗器械相关法律、法规、规范、标准等外部文件变化情况，及时更新质量管理体系文件。</w:t>
            </w:r>
          </w:p>
        </w:tc>
        <w:tc>
          <w:tcPr>
            <w:tcW w:w="407" w:type="pct"/>
            <w:noWrap w:val="0"/>
            <w:vAlign w:val="center"/>
          </w:tcPr>
          <w:p w14:paraId="5A0F6BBA">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D2EAB14">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《规范》第四十四条</w:t>
            </w:r>
          </w:p>
        </w:tc>
      </w:tr>
      <w:tr w14:paraId="292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89" w:type="pct"/>
            <w:vMerge w:val="continue"/>
            <w:noWrap w:val="0"/>
            <w:vAlign w:val="center"/>
          </w:tcPr>
          <w:p w14:paraId="35964FC5">
            <w:pPr>
              <w:jc w:val="center"/>
              <w:rPr>
                <w:rFonts w:eastAsia="仿宋_GB2312"/>
                <w:color w:val="000000"/>
                <w:sz w:val="22"/>
                <w:szCs w:val="22"/>
              </w:rPr>
            </w:pPr>
          </w:p>
        </w:tc>
        <w:tc>
          <w:tcPr>
            <w:tcW w:w="326" w:type="pct"/>
            <w:noWrap w:val="0"/>
            <w:vAlign w:val="center"/>
          </w:tcPr>
          <w:p w14:paraId="54F7033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66</w:t>
            </w:r>
          </w:p>
        </w:tc>
        <w:tc>
          <w:tcPr>
            <w:tcW w:w="523" w:type="pct"/>
            <w:noWrap w:val="0"/>
            <w:vAlign w:val="center"/>
          </w:tcPr>
          <w:p w14:paraId="6D46FFF5">
            <w:pPr>
              <w:widowControl/>
              <w:jc w:val="center"/>
              <w:textAlignment w:val="center"/>
              <w:rPr>
                <w:rFonts w:eastAsia="仿宋_GB2312"/>
                <w:color w:val="000000"/>
                <w:sz w:val="22"/>
                <w:szCs w:val="22"/>
              </w:rPr>
            </w:pPr>
            <w:r>
              <w:rPr>
                <w:rFonts w:eastAsia="仿宋_GB2312"/>
                <w:color w:val="000000"/>
                <w:kern w:val="0"/>
                <w:sz w:val="22"/>
                <w:szCs w:val="22"/>
                <w:lang w:bidi="ar"/>
              </w:rPr>
              <w:t>6.4.1</w:t>
            </w:r>
          </w:p>
        </w:tc>
        <w:tc>
          <w:tcPr>
            <w:tcW w:w="2496" w:type="pct"/>
            <w:noWrap w:val="0"/>
            <w:vAlign w:val="center"/>
          </w:tcPr>
          <w:p w14:paraId="06375518">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企业应当建立记录控制程序，包括记录的标识、保管、检索、保存期限和处置要求等，并符合下列要求：</w:t>
            </w:r>
            <w:r>
              <w:rPr>
                <w:rFonts w:eastAsia="仿宋_GB2312"/>
                <w:color w:val="000000"/>
                <w:kern w:val="0"/>
                <w:sz w:val="22"/>
                <w:szCs w:val="22"/>
                <w:lang w:bidi="ar"/>
              </w:rPr>
              <w:br w:type="textWrapping"/>
            </w:r>
            <w:r>
              <w:rPr>
                <w:rFonts w:eastAsia="仿宋_GB2312"/>
                <w:color w:val="000000"/>
                <w:kern w:val="0"/>
                <w:sz w:val="22"/>
                <w:szCs w:val="22"/>
                <w:lang w:bidi="ar"/>
              </w:rPr>
              <w:t xml:space="preserve">（一）记录应当保证产品设计开发、生产、质量控制和产品放行等活动可追溯； </w:t>
            </w:r>
            <w:r>
              <w:rPr>
                <w:rFonts w:eastAsia="仿宋_GB2312"/>
                <w:color w:val="000000"/>
                <w:kern w:val="0"/>
                <w:sz w:val="22"/>
                <w:szCs w:val="22"/>
                <w:lang w:bidi="ar"/>
              </w:rPr>
              <w:br w:type="textWrapping"/>
            </w:r>
            <w:r>
              <w:rPr>
                <w:rFonts w:eastAsia="仿宋_GB2312"/>
                <w:color w:val="000000"/>
                <w:kern w:val="0"/>
                <w:sz w:val="22"/>
                <w:szCs w:val="22"/>
                <w:lang w:bidi="ar"/>
              </w:rPr>
              <w:t>（二）记录应当真实、准确、完整、及时、清晰，易于识别和检索，防止破损和丢失；</w:t>
            </w:r>
          </w:p>
        </w:tc>
        <w:tc>
          <w:tcPr>
            <w:tcW w:w="407" w:type="pct"/>
            <w:noWrap w:val="0"/>
            <w:vAlign w:val="center"/>
          </w:tcPr>
          <w:p w14:paraId="6875F048">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75EFA5F">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《规范》第四十五条</w:t>
            </w:r>
          </w:p>
        </w:tc>
      </w:tr>
      <w:tr w14:paraId="3783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589" w:type="pct"/>
            <w:vMerge w:val="continue"/>
            <w:noWrap w:val="0"/>
            <w:vAlign w:val="center"/>
          </w:tcPr>
          <w:p w14:paraId="6AD777DB">
            <w:pPr>
              <w:jc w:val="center"/>
              <w:rPr>
                <w:rFonts w:eastAsia="仿宋_GB2312"/>
                <w:color w:val="000000"/>
                <w:sz w:val="22"/>
                <w:szCs w:val="22"/>
              </w:rPr>
            </w:pPr>
          </w:p>
        </w:tc>
        <w:tc>
          <w:tcPr>
            <w:tcW w:w="326" w:type="pct"/>
            <w:noWrap w:val="0"/>
            <w:vAlign w:val="center"/>
          </w:tcPr>
          <w:p w14:paraId="6A53032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67</w:t>
            </w:r>
          </w:p>
        </w:tc>
        <w:tc>
          <w:tcPr>
            <w:tcW w:w="523" w:type="pct"/>
            <w:noWrap w:val="0"/>
            <w:vAlign w:val="center"/>
          </w:tcPr>
          <w:p w14:paraId="418E91A7">
            <w:pPr>
              <w:widowControl/>
              <w:jc w:val="center"/>
              <w:textAlignment w:val="center"/>
              <w:rPr>
                <w:rFonts w:eastAsia="仿宋_GB2312"/>
                <w:color w:val="000000"/>
                <w:sz w:val="22"/>
                <w:szCs w:val="22"/>
              </w:rPr>
            </w:pPr>
            <w:r>
              <w:rPr>
                <w:rFonts w:eastAsia="仿宋_GB2312"/>
                <w:color w:val="000000"/>
                <w:kern w:val="0"/>
                <w:sz w:val="22"/>
                <w:szCs w:val="22"/>
                <w:lang w:bidi="ar"/>
              </w:rPr>
              <w:t>6.4.2</w:t>
            </w:r>
          </w:p>
        </w:tc>
        <w:tc>
          <w:tcPr>
            <w:tcW w:w="2496" w:type="pct"/>
            <w:noWrap w:val="0"/>
            <w:vAlign w:val="center"/>
          </w:tcPr>
          <w:p w14:paraId="5E62ACB4">
            <w:pPr>
              <w:widowControl/>
              <w:jc w:val="left"/>
              <w:textAlignment w:val="center"/>
              <w:rPr>
                <w:rFonts w:eastAsia="仿宋_GB2312"/>
                <w:color w:val="000000"/>
                <w:sz w:val="22"/>
                <w:szCs w:val="22"/>
              </w:rPr>
            </w:pPr>
            <w:r>
              <w:rPr>
                <w:rFonts w:eastAsia="仿宋_GB2312"/>
                <w:color w:val="000000"/>
                <w:kern w:val="0"/>
                <w:sz w:val="22"/>
                <w:szCs w:val="22"/>
                <w:lang w:bidi="ar"/>
              </w:rPr>
              <w:t>企业应当建立记录控制程序，包括记录的标识、保管、检索、保存期限和处置要求等，并符合下列要求：</w:t>
            </w:r>
            <w:r>
              <w:rPr>
                <w:rFonts w:eastAsia="仿宋_GB2312"/>
                <w:color w:val="000000"/>
                <w:kern w:val="0"/>
                <w:sz w:val="22"/>
                <w:szCs w:val="22"/>
                <w:lang w:bidi="ar"/>
              </w:rPr>
              <w:br w:type="textWrapping"/>
            </w:r>
            <w:r>
              <w:rPr>
                <w:rFonts w:eastAsia="仿宋_GB2312"/>
                <w:color w:val="000000"/>
                <w:kern w:val="0"/>
                <w:sz w:val="22"/>
                <w:szCs w:val="22"/>
                <w:lang w:bidi="ar"/>
              </w:rPr>
              <w:t>（三）记录不得随意涂改或者销毁，必须更改时，应当注明更改理由、更改人员和日期，原有信息清晰可辨；</w:t>
            </w:r>
            <w:r>
              <w:rPr>
                <w:rFonts w:eastAsia="仿宋_GB2312"/>
                <w:color w:val="000000"/>
                <w:kern w:val="0"/>
                <w:sz w:val="22"/>
                <w:szCs w:val="22"/>
                <w:lang w:bidi="ar"/>
              </w:rPr>
              <w:br w:type="textWrapping"/>
            </w:r>
            <w:r>
              <w:rPr>
                <w:rFonts w:eastAsia="仿宋_GB2312"/>
                <w:color w:val="000000"/>
                <w:kern w:val="0"/>
                <w:sz w:val="22"/>
                <w:szCs w:val="22"/>
                <w:lang w:bidi="ar"/>
              </w:rPr>
              <w:t>（四）记录保存期限至少应当与企业所规定的医疗器械寿命期保持一致或者符合相关法规要求，且自产品放行之日起不少于2年。</w:t>
            </w:r>
          </w:p>
        </w:tc>
        <w:tc>
          <w:tcPr>
            <w:tcW w:w="407" w:type="pct"/>
            <w:noWrap w:val="0"/>
            <w:vAlign w:val="center"/>
          </w:tcPr>
          <w:p w14:paraId="622C55E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3C62388">
            <w:pPr>
              <w:widowControl/>
              <w:jc w:val="center"/>
              <w:textAlignment w:val="center"/>
              <w:rPr>
                <w:rFonts w:eastAsia="仿宋_GB2312"/>
                <w:color w:val="000000"/>
                <w:sz w:val="22"/>
                <w:szCs w:val="22"/>
              </w:rPr>
            </w:pPr>
            <w:r>
              <w:rPr>
                <w:rFonts w:eastAsia="仿宋_GB2312"/>
                <w:color w:val="000000"/>
                <w:kern w:val="0"/>
                <w:sz w:val="22"/>
                <w:szCs w:val="22"/>
                <w:lang w:bidi="ar"/>
              </w:rPr>
              <w:t>《规范》第四十五条</w:t>
            </w:r>
          </w:p>
        </w:tc>
      </w:tr>
      <w:tr w14:paraId="271B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jc w:val="center"/>
        </w:trPr>
        <w:tc>
          <w:tcPr>
            <w:tcW w:w="589" w:type="pct"/>
            <w:vMerge w:val="continue"/>
            <w:noWrap w:val="0"/>
            <w:vAlign w:val="center"/>
          </w:tcPr>
          <w:p w14:paraId="595AC4CC">
            <w:pPr>
              <w:jc w:val="center"/>
              <w:rPr>
                <w:rFonts w:eastAsia="仿宋_GB2312"/>
                <w:color w:val="000000"/>
                <w:sz w:val="22"/>
                <w:szCs w:val="22"/>
              </w:rPr>
            </w:pPr>
          </w:p>
        </w:tc>
        <w:tc>
          <w:tcPr>
            <w:tcW w:w="326" w:type="pct"/>
            <w:noWrap w:val="0"/>
            <w:vAlign w:val="center"/>
          </w:tcPr>
          <w:p w14:paraId="5F76A65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68</w:t>
            </w:r>
          </w:p>
        </w:tc>
        <w:tc>
          <w:tcPr>
            <w:tcW w:w="523" w:type="pct"/>
            <w:noWrap w:val="0"/>
            <w:vAlign w:val="center"/>
          </w:tcPr>
          <w:p w14:paraId="21DFF9A9">
            <w:pPr>
              <w:widowControl/>
              <w:jc w:val="center"/>
              <w:textAlignment w:val="center"/>
              <w:rPr>
                <w:rFonts w:eastAsia="仿宋_GB2312"/>
                <w:color w:val="000000"/>
                <w:sz w:val="22"/>
                <w:szCs w:val="22"/>
              </w:rPr>
            </w:pPr>
            <w:r>
              <w:rPr>
                <w:rFonts w:eastAsia="仿宋_GB2312"/>
                <w:color w:val="000000"/>
                <w:kern w:val="0"/>
                <w:sz w:val="22"/>
                <w:szCs w:val="22"/>
                <w:lang w:bidi="ar"/>
              </w:rPr>
              <w:t>6.5.1</w:t>
            </w:r>
          </w:p>
        </w:tc>
        <w:tc>
          <w:tcPr>
            <w:tcW w:w="2496" w:type="pct"/>
            <w:noWrap w:val="0"/>
            <w:vAlign w:val="center"/>
          </w:tcPr>
          <w:p w14:paraId="40DBC621">
            <w:pPr>
              <w:widowControl/>
              <w:spacing w:line="280" w:lineRule="exact"/>
              <w:jc w:val="left"/>
              <w:textAlignment w:val="center"/>
              <w:rPr>
                <w:rFonts w:eastAsia="仿宋_GB2312"/>
                <w:color w:val="000000"/>
                <w:sz w:val="22"/>
                <w:szCs w:val="22"/>
              </w:rPr>
            </w:pPr>
            <w:r>
              <w:rPr>
                <w:rFonts w:eastAsia="仿宋_GB2312"/>
                <w:color w:val="000000"/>
                <w:kern w:val="0"/>
                <w:sz w:val="22"/>
                <w:szCs w:val="22"/>
                <w:lang w:bidi="ar"/>
              </w:rPr>
              <w:t>采用信息化管理方式的，企业应当确保电子记录或者数据真实、准确、完整、及时和可追溯，并符合下列要求：</w:t>
            </w:r>
            <w:r>
              <w:rPr>
                <w:rFonts w:eastAsia="仿宋_GB2312"/>
                <w:color w:val="000000"/>
                <w:kern w:val="0"/>
                <w:sz w:val="22"/>
                <w:szCs w:val="22"/>
                <w:lang w:bidi="ar"/>
              </w:rPr>
              <w:br w:type="textWrapping"/>
            </w:r>
            <w:r>
              <w:rPr>
                <w:rFonts w:eastAsia="仿宋_GB2312"/>
                <w:color w:val="000000"/>
                <w:kern w:val="0"/>
                <w:sz w:val="22"/>
                <w:szCs w:val="22"/>
                <w:lang w:bidi="ar"/>
              </w:rPr>
              <w:t>（一）建立用户权限管理，确保可能对电子记录或者数据真实准确产生影响的权限得到有效控制；</w:t>
            </w:r>
            <w:r>
              <w:rPr>
                <w:rFonts w:eastAsia="仿宋_GB2312"/>
                <w:color w:val="000000"/>
                <w:kern w:val="0"/>
                <w:sz w:val="22"/>
                <w:szCs w:val="22"/>
                <w:lang w:bidi="ar"/>
              </w:rPr>
              <w:br w:type="textWrapping"/>
            </w:r>
            <w:r>
              <w:rPr>
                <w:rFonts w:eastAsia="仿宋_GB2312"/>
                <w:color w:val="000000"/>
                <w:kern w:val="0"/>
                <w:sz w:val="22"/>
                <w:szCs w:val="22"/>
                <w:lang w:bidi="ar"/>
              </w:rPr>
              <w:t>（二）电子记录或者数据更改、删除应当由经授权的人员操作，保留更改、删除记录；</w:t>
            </w:r>
            <w:r>
              <w:rPr>
                <w:rFonts w:eastAsia="仿宋_GB2312"/>
                <w:color w:val="000000"/>
                <w:kern w:val="0"/>
                <w:sz w:val="22"/>
                <w:szCs w:val="22"/>
                <w:lang w:bidi="ar"/>
              </w:rPr>
              <w:br w:type="textWrapping"/>
            </w:r>
            <w:r>
              <w:rPr>
                <w:rFonts w:eastAsia="仿宋_GB2312"/>
                <w:color w:val="000000"/>
                <w:kern w:val="0"/>
                <w:sz w:val="22"/>
                <w:szCs w:val="22"/>
                <w:lang w:bidi="ar"/>
              </w:rPr>
              <w:t>（三）电子记录或者数据应当进行备份，保存期限应当不低于本章定义的记录保存期限，且在保存期内便于查阅；</w:t>
            </w:r>
            <w:r>
              <w:rPr>
                <w:rFonts w:eastAsia="仿宋_GB2312"/>
                <w:color w:val="000000"/>
                <w:kern w:val="0"/>
                <w:sz w:val="22"/>
                <w:szCs w:val="22"/>
                <w:lang w:bidi="ar"/>
              </w:rPr>
              <w:br w:type="textWrapping"/>
            </w:r>
            <w:r>
              <w:rPr>
                <w:rFonts w:eastAsia="仿宋_GB2312"/>
                <w:color w:val="000000"/>
                <w:kern w:val="0"/>
                <w:sz w:val="22"/>
                <w:szCs w:val="22"/>
                <w:lang w:bidi="ar"/>
              </w:rPr>
              <w:t>（四）采用电子签名的，应当符合相关法律法规要求。</w:t>
            </w:r>
          </w:p>
        </w:tc>
        <w:tc>
          <w:tcPr>
            <w:tcW w:w="407" w:type="pct"/>
            <w:noWrap w:val="0"/>
            <w:vAlign w:val="center"/>
          </w:tcPr>
          <w:p w14:paraId="764FA06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A8C58BB">
            <w:pPr>
              <w:widowControl/>
              <w:jc w:val="center"/>
              <w:textAlignment w:val="center"/>
              <w:rPr>
                <w:rFonts w:eastAsia="仿宋_GB2312"/>
                <w:color w:val="000000"/>
                <w:sz w:val="22"/>
                <w:szCs w:val="22"/>
              </w:rPr>
            </w:pPr>
            <w:r>
              <w:rPr>
                <w:rFonts w:eastAsia="仿宋_GB2312"/>
                <w:color w:val="000000"/>
                <w:kern w:val="0"/>
                <w:sz w:val="22"/>
                <w:szCs w:val="22"/>
                <w:lang w:bidi="ar"/>
              </w:rPr>
              <w:t>《规范》第四十六条</w:t>
            </w:r>
          </w:p>
        </w:tc>
      </w:tr>
      <w:tr w14:paraId="7372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589" w:type="pct"/>
            <w:vMerge w:val="restart"/>
            <w:noWrap w:val="0"/>
            <w:vAlign w:val="center"/>
          </w:tcPr>
          <w:p w14:paraId="2A65024D">
            <w:pPr>
              <w:widowControl/>
              <w:jc w:val="center"/>
              <w:textAlignment w:val="center"/>
              <w:rPr>
                <w:rFonts w:eastAsia="仿宋_GB2312"/>
                <w:color w:val="000000"/>
                <w:sz w:val="22"/>
                <w:szCs w:val="22"/>
              </w:rPr>
            </w:pPr>
            <w:r>
              <w:rPr>
                <w:rFonts w:eastAsia="仿宋_GB2312"/>
                <w:color w:val="000000"/>
                <w:kern w:val="0"/>
                <w:sz w:val="22"/>
                <w:szCs w:val="22"/>
                <w:lang w:bidi="ar"/>
              </w:rPr>
              <w:t>第七章 设计开发</w:t>
            </w:r>
          </w:p>
        </w:tc>
        <w:tc>
          <w:tcPr>
            <w:tcW w:w="326" w:type="pct"/>
            <w:noWrap w:val="0"/>
            <w:vAlign w:val="center"/>
          </w:tcPr>
          <w:p w14:paraId="4FCA566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69</w:t>
            </w:r>
          </w:p>
        </w:tc>
        <w:tc>
          <w:tcPr>
            <w:tcW w:w="523" w:type="pct"/>
            <w:noWrap w:val="0"/>
            <w:vAlign w:val="center"/>
          </w:tcPr>
          <w:p w14:paraId="50C2AB20">
            <w:pPr>
              <w:widowControl/>
              <w:jc w:val="center"/>
              <w:textAlignment w:val="center"/>
              <w:rPr>
                <w:rFonts w:eastAsia="仿宋_GB2312"/>
                <w:color w:val="000000"/>
                <w:sz w:val="22"/>
                <w:szCs w:val="22"/>
              </w:rPr>
            </w:pPr>
            <w:r>
              <w:rPr>
                <w:rFonts w:eastAsia="仿宋_GB2312"/>
                <w:color w:val="000000"/>
                <w:kern w:val="0"/>
                <w:sz w:val="22"/>
                <w:szCs w:val="22"/>
                <w:lang w:bidi="ar"/>
              </w:rPr>
              <w:t>7.1.1</w:t>
            </w:r>
          </w:p>
        </w:tc>
        <w:tc>
          <w:tcPr>
            <w:tcW w:w="2496" w:type="pct"/>
            <w:noWrap w:val="0"/>
            <w:vAlign w:val="center"/>
          </w:tcPr>
          <w:p w14:paraId="16444F3A">
            <w:pPr>
              <w:widowControl/>
              <w:spacing w:line="280" w:lineRule="exact"/>
              <w:jc w:val="left"/>
              <w:textAlignment w:val="center"/>
              <w:rPr>
                <w:rFonts w:eastAsia="仿宋_GB2312"/>
                <w:color w:val="000000"/>
                <w:sz w:val="22"/>
                <w:szCs w:val="22"/>
              </w:rPr>
            </w:pPr>
            <w:r>
              <w:rPr>
                <w:rFonts w:eastAsia="仿宋_GB2312"/>
                <w:color w:val="000000"/>
                <w:kern w:val="0"/>
                <w:sz w:val="22"/>
                <w:szCs w:val="22"/>
                <w:lang w:bidi="ar"/>
              </w:rPr>
              <w:t>企业应当建立设计开发控制程序，对设计开发的阶段进行划分，并明确软件生存周期过程控制要求。应当对医疗器械设计开发全过程实施策划和控制，规定设计开发的策划、输入、输出、验证、确认、转换、变更和评审等活动以及相关文档控制要求，明确软件开发策划、软件需求分析、软件设计、软件编码、验证与确认、软件更新、风险管理、缺陷管理、可追溯性分析、配置管理、文件与记录控制、现成软件使用、网络安全保证、软件发布、软件部署、软件停运等活动要求。</w:t>
            </w:r>
          </w:p>
        </w:tc>
        <w:tc>
          <w:tcPr>
            <w:tcW w:w="407" w:type="pct"/>
            <w:noWrap w:val="0"/>
            <w:vAlign w:val="center"/>
          </w:tcPr>
          <w:p w14:paraId="478AC03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60A4EC6">
            <w:pPr>
              <w:widowControl/>
              <w:jc w:val="center"/>
              <w:textAlignment w:val="center"/>
              <w:rPr>
                <w:rFonts w:eastAsia="仿宋_GB2312"/>
                <w:color w:val="000000"/>
                <w:sz w:val="22"/>
                <w:szCs w:val="22"/>
              </w:rPr>
            </w:pPr>
            <w:r>
              <w:rPr>
                <w:rFonts w:eastAsia="仿宋_GB2312"/>
                <w:color w:val="000000"/>
                <w:kern w:val="0"/>
                <w:sz w:val="22"/>
                <w:szCs w:val="22"/>
                <w:lang w:bidi="ar"/>
              </w:rPr>
              <w:t>《规范》第四十七条，</w:t>
            </w:r>
            <w:r>
              <w:rPr>
                <w:rFonts w:eastAsia="仿宋_GB2312"/>
                <w:color w:val="000000"/>
                <w:kern w:val="0"/>
                <w:sz w:val="22"/>
                <w:szCs w:val="22"/>
                <w:lang w:bidi="ar"/>
              </w:rPr>
              <w:br w:type="textWrapping"/>
            </w:r>
            <w:r>
              <w:rPr>
                <w:rFonts w:eastAsia="仿宋_GB2312"/>
                <w:color w:val="000000"/>
                <w:kern w:val="0"/>
                <w:sz w:val="22"/>
                <w:szCs w:val="22"/>
                <w:lang w:bidi="ar"/>
              </w:rPr>
              <w:t>《独立软件附录》2.3.1</w:t>
            </w:r>
          </w:p>
        </w:tc>
      </w:tr>
      <w:tr w14:paraId="3FF3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589" w:type="pct"/>
            <w:vMerge w:val="continue"/>
            <w:noWrap w:val="0"/>
            <w:vAlign w:val="center"/>
          </w:tcPr>
          <w:p w14:paraId="096A4F9D">
            <w:pPr>
              <w:jc w:val="center"/>
              <w:rPr>
                <w:rFonts w:eastAsia="仿宋_GB2312"/>
                <w:color w:val="000000"/>
                <w:sz w:val="22"/>
                <w:szCs w:val="22"/>
              </w:rPr>
            </w:pPr>
          </w:p>
        </w:tc>
        <w:tc>
          <w:tcPr>
            <w:tcW w:w="326" w:type="pct"/>
            <w:noWrap w:val="0"/>
            <w:vAlign w:val="center"/>
          </w:tcPr>
          <w:p w14:paraId="659AB46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70</w:t>
            </w:r>
          </w:p>
        </w:tc>
        <w:tc>
          <w:tcPr>
            <w:tcW w:w="523" w:type="pct"/>
            <w:noWrap w:val="0"/>
            <w:vAlign w:val="center"/>
          </w:tcPr>
          <w:p w14:paraId="7AF487FD">
            <w:pPr>
              <w:widowControl/>
              <w:jc w:val="center"/>
              <w:textAlignment w:val="center"/>
              <w:rPr>
                <w:rFonts w:eastAsia="仿宋_GB2312"/>
                <w:color w:val="000000"/>
                <w:sz w:val="22"/>
                <w:szCs w:val="22"/>
              </w:rPr>
            </w:pPr>
            <w:r>
              <w:rPr>
                <w:rFonts w:eastAsia="仿宋_GB2312"/>
                <w:color w:val="000000"/>
                <w:kern w:val="0"/>
                <w:sz w:val="22"/>
                <w:szCs w:val="22"/>
                <w:lang w:bidi="ar"/>
              </w:rPr>
              <w:t>7.2.1</w:t>
            </w:r>
          </w:p>
        </w:tc>
        <w:tc>
          <w:tcPr>
            <w:tcW w:w="2496" w:type="pct"/>
            <w:noWrap w:val="0"/>
            <w:vAlign w:val="center"/>
          </w:tcPr>
          <w:p w14:paraId="38E068A4">
            <w:pPr>
              <w:widowControl/>
              <w:jc w:val="left"/>
              <w:textAlignment w:val="center"/>
              <w:rPr>
                <w:rFonts w:eastAsia="仿宋_GB2312"/>
                <w:color w:val="000000"/>
                <w:sz w:val="22"/>
                <w:szCs w:val="22"/>
              </w:rPr>
            </w:pPr>
            <w:r>
              <w:rPr>
                <w:rFonts w:eastAsia="仿宋_GB2312"/>
                <w:color w:val="000000"/>
                <w:kern w:val="0"/>
                <w:sz w:val="22"/>
                <w:szCs w:val="22"/>
                <w:lang w:bidi="ar"/>
              </w:rPr>
              <w:t>企业应当将风险管理理念贯穿于软件生存周期全过程，制定风险管理控制程序，使用风险管理方法和工具，结合产品识别、分析、评价、控制、监测软件功能、接口、用户界面、现成软件、网络安全等风险，并保留相关记录。</w:t>
            </w:r>
          </w:p>
        </w:tc>
        <w:tc>
          <w:tcPr>
            <w:tcW w:w="407" w:type="pct"/>
            <w:noWrap w:val="0"/>
            <w:vAlign w:val="center"/>
          </w:tcPr>
          <w:p w14:paraId="63C4E41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D697199">
            <w:pPr>
              <w:widowControl/>
              <w:jc w:val="center"/>
              <w:textAlignment w:val="center"/>
              <w:rPr>
                <w:rFonts w:eastAsia="仿宋_GB2312"/>
                <w:color w:val="000000"/>
                <w:sz w:val="22"/>
                <w:szCs w:val="22"/>
              </w:rPr>
            </w:pPr>
            <w:r>
              <w:rPr>
                <w:rFonts w:eastAsia="仿宋_GB2312"/>
                <w:color w:val="000000"/>
                <w:kern w:val="0"/>
                <w:sz w:val="22"/>
                <w:szCs w:val="22"/>
                <w:lang w:bidi="ar"/>
              </w:rPr>
              <w:t>《规范》第四十八条，</w:t>
            </w:r>
            <w:r>
              <w:rPr>
                <w:rFonts w:eastAsia="仿宋_GB2312"/>
                <w:color w:val="000000"/>
                <w:kern w:val="0"/>
                <w:sz w:val="22"/>
                <w:szCs w:val="22"/>
                <w:lang w:bidi="ar"/>
              </w:rPr>
              <w:br w:type="textWrapping"/>
            </w:r>
            <w:r>
              <w:rPr>
                <w:rFonts w:eastAsia="仿宋_GB2312"/>
                <w:color w:val="000000"/>
                <w:kern w:val="0"/>
                <w:sz w:val="22"/>
                <w:szCs w:val="22"/>
                <w:lang w:bidi="ar"/>
              </w:rPr>
              <w:t>《独立软件附录》2.3.3</w:t>
            </w:r>
          </w:p>
        </w:tc>
      </w:tr>
      <w:tr w14:paraId="5E15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29819F0F">
            <w:pPr>
              <w:jc w:val="center"/>
              <w:rPr>
                <w:rFonts w:eastAsia="仿宋_GB2312"/>
                <w:color w:val="000000"/>
                <w:sz w:val="22"/>
                <w:szCs w:val="22"/>
              </w:rPr>
            </w:pPr>
          </w:p>
        </w:tc>
        <w:tc>
          <w:tcPr>
            <w:tcW w:w="326" w:type="pct"/>
            <w:noWrap w:val="0"/>
            <w:vAlign w:val="center"/>
          </w:tcPr>
          <w:p w14:paraId="11DE624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71</w:t>
            </w:r>
          </w:p>
        </w:tc>
        <w:tc>
          <w:tcPr>
            <w:tcW w:w="523" w:type="pct"/>
            <w:noWrap w:val="0"/>
            <w:vAlign w:val="center"/>
          </w:tcPr>
          <w:p w14:paraId="69FCCA08">
            <w:pPr>
              <w:widowControl/>
              <w:jc w:val="center"/>
              <w:textAlignment w:val="center"/>
              <w:rPr>
                <w:rFonts w:eastAsia="仿宋_GB2312"/>
                <w:color w:val="000000"/>
                <w:sz w:val="22"/>
                <w:szCs w:val="22"/>
              </w:rPr>
            </w:pPr>
            <w:r>
              <w:rPr>
                <w:rFonts w:eastAsia="仿宋_GB2312"/>
                <w:color w:val="000000"/>
                <w:kern w:val="0"/>
                <w:sz w:val="22"/>
                <w:szCs w:val="22"/>
                <w:lang w:bidi="ar"/>
              </w:rPr>
              <w:t>7.2.2</w:t>
            </w:r>
          </w:p>
        </w:tc>
        <w:tc>
          <w:tcPr>
            <w:tcW w:w="2496" w:type="pct"/>
            <w:noWrap w:val="0"/>
            <w:vAlign w:val="center"/>
          </w:tcPr>
          <w:p w14:paraId="647E4B97">
            <w:pPr>
              <w:widowControl/>
              <w:jc w:val="left"/>
              <w:textAlignment w:val="center"/>
              <w:rPr>
                <w:rFonts w:eastAsia="仿宋_GB2312"/>
                <w:color w:val="000000"/>
                <w:sz w:val="22"/>
                <w:szCs w:val="22"/>
              </w:rPr>
            </w:pPr>
            <w:r>
              <w:rPr>
                <w:rFonts w:eastAsia="仿宋_GB2312"/>
                <w:color w:val="000000"/>
                <w:kern w:val="0"/>
                <w:sz w:val="22"/>
                <w:szCs w:val="22"/>
                <w:lang w:bidi="ar"/>
              </w:rPr>
              <w:t>软件生存周期过程质量保证活动要求应当与软件安全性级别相适宜。</w:t>
            </w:r>
          </w:p>
        </w:tc>
        <w:tc>
          <w:tcPr>
            <w:tcW w:w="407" w:type="pct"/>
            <w:noWrap w:val="0"/>
            <w:vAlign w:val="center"/>
          </w:tcPr>
          <w:p w14:paraId="469F65C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7EAD9CB">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《独立软件附录》2.3.2</w:t>
            </w:r>
          </w:p>
        </w:tc>
      </w:tr>
      <w:tr w14:paraId="4245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89" w:type="pct"/>
            <w:vMerge w:val="continue"/>
            <w:noWrap w:val="0"/>
            <w:vAlign w:val="center"/>
          </w:tcPr>
          <w:p w14:paraId="3B0D8D67">
            <w:pPr>
              <w:jc w:val="center"/>
              <w:rPr>
                <w:rFonts w:eastAsia="仿宋_GB2312"/>
                <w:color w:val="000000"/>
                <w:sz w:val="22"/>
                <w:szCs w:val="22"/>
              </w:rPr>
            </w:pPr>
          </w:p>
        </w:tc>
        <w:tc>
          <w:tcPr>
            <w:tcW w:w="326" w:type="pct"/>
            <w:noWrap w:val="0"/>
            <w:vAlign w:val="center"/>
          </w:tcPr>
          <w:p w14:paraId="0D95C02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72</w:t>
            </w:r>
          </w:p>
        </w:tc>
        <w:tc>
          <w:tcPr>
            <w:tcW w:w="523" w:type="pct"/>
            <w:noWrap w:val="0"/>
            <w:vAlign w:val="center"/>
          </w:tcPr>
          <w:p w14:paraId="650CD719">
            <w:pPr>
              <w:widowControl/>
              <w:jc w:val="center"/>
              <w:textAlignment w:val="center"/>
              <w:rPr>
                <w:rFonts w:eastAsia="仿宋_GB2312"/>
                <w:color w:val="000000"/>
                <w:sz w:val="22"/>
                <w:szCs w:val="22"/>
              </w:rPr>
            </w:pPr>
            <w:r>
              <w:rPr>
                <w:rFonts w:eastAsia="仿宋_GB2312"/>
                <w:color w:val="000000"/>
                <w:kern w:val="0"/>
                <w:sz w:val="22"/>
                <w:szCs w:val="22"/>
                <w:lang w:bidi="ar"/>
              </w:rPr>
              <w:t>7.2.3</w:t>
            </w:r>
          </w:p>
        </w:tc>
        <w:tc>
          <w:tcPr>
            <w:tcW w:w="2496" w:type="pct"/>
            <w:noWrap w:val="0"/>
            <w:vAlign w:val="center"/>
          </w:tcPr>
          <w:p w14:paraId="762E282F">
            <w:pPr>
              <w:widowControl/>
              <w:jc w:val="left"/>
              <w:textAlignment w:val="center"/>
              <w:rPr>
                <w:rFonts w:eastAsia="仿宋_GB2312"/>
                <w:color w:val="000000"/>
                <w:sz w:val="22"/>
                <w:szCs w:val="22"/>
              </w:rPr>
            </w:pPr>
            <w:r>
              <w:rPr>
                <w:rFonts w:eastAsia="仿宋_GB2312"/>
                <w:color w:val="000000"/>
                <w:kern w:val="0"/>
                <w:sz w:val="22"/>
                <w:szCs w:val="22"/>
                <w:lang w:bidi="ar"/>
              </w:rPr>
              <w:t>软件安全性级别应当在采取风险控制措施之前，结合软件的预期用途、使用场景和核心功能进行综合判定，并仅可通过外部风险控制措施降低级别。</w:t>
            </w:r>
          </w:p>
        </w:tc>
        <w:tc>
          <w:tcPr>
            <w:tcW w:w="407" w:type="pct"/>
            <w:noWrap w:val="0"/>
            <w:vAlign w:val="center"/>
          </w:tcPr>
          <w:p w14:paraId="338778A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18BB026">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《独立软件附录》2.3.2</w:t>
            </w:r>
          </w:p>
        </w:tc>
      </w:tr>
      <w:tr w14:paraId="1384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continue"/>
            <w:noWrap w:val="0"/>
            <w:vAlign w:val="center"/>
          </w:tcPr>
          <w:p w14:paraId="3557078F">
            <w:pPr>
              <w:jc w:val="center"/>
              <w:rPr>
                <w:rFonts w:eastAsia="仿宋_GB2312"/>
                <w:color w:val="000000"/>
                <w:sz w:val="22"/>
                <w:szCs w:val="22"/>
              </w:rPr>
            </w:pPr>
          </w:p>
        </w:tc>
        <w:tc>
          <w:tcPr>
            <w:tcW w:w="326" w:type="pct"/>
            <w:noWrap w:val="0"/>
            <w:vAlign w:val="center"/>
          </w:tcPr>
          <w:p w14:paraId="1DDCD29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73</w:t>
            </w:r>
          </w:p>
        </w:tc>
        <w:tc>
          <w:tcPr>
            <w:tcW w:w="523" w:type="pct"/>
            <w:noWrap/>
            <w:vAlign w:val="center"/>
          </w:tcPr>
          <w:p w14:paraId="641F331F">
            <w:pPr>
              <w:widowControl/>
              <w:jc w:val="center"/>
              <w:textAlignment w:val="center"/>
              <w:rPr>
                <w:rFonts w:eastAsia="仿宋_GB2312"/>
                <w:color w:val="000000"/>
                <w:sz w:val="22"/>
                <w:szCs w:val="22"/>
              </w:rPr>
            </w:pPr>
            <w:r>
              <w:rPr>
                <w:rFonts w:eastAsia="仿宋_GB2312"/>
                <w:color w:val="000000"/>
                <w:kern w:val="0"/>
                <w:sz w:val="22"/>
                <w:szCs w:val="22"/>
                <w:lang w:bidi="ar"/>
              </w:rPr>
              <w:t>7.3.1</w:t>
            </w:r>
          </w:p>
        </w:tc>
        <w:tc>
          <w:tcPr>
            <w:tcW w:w="2496" w:type="pct"/>
            <w:noWrap w:val="0"/>
            <w:vAlign w:val="center"/>
          </w:tcPr>
          <w:p w14:paraId="4B554C51">
            <w:pPr>
              <w:widowControl/>
              <w:jc w:val="left"/>
              <w:textAlignment w:val="center"/>
              <w:rPr>
                <w:rFonts w:eastAsia="仿宋_GB2312"/>
                <w:color w:val="000000"/>
                <w:sz w:val="22"/>
                <w:szCs w:val="22"/>
              </w:rPr>
            </w:pPr>
            <w:r>
              <w:rPr>
                <w:rFonts w:eastAsia="仿宋_GB2312"/>
                <w:color w:val="000000"/>
                <w:kern w:val="0"/>
                <w:sz w:val="22"/>
                <w:szCs w:val="22"/>
                <w:lang w:bidi="ar"/>
              </w:rPr>
              <w:t>软件配置管理应当建立控制程序并形成文件，规范软件版本、源代码、文件、工具、现成软件等控制要求，确定配置标识、变更控制、配置状态记录等活动要求。使用配置管理工具保证软件质量，并贯穿于软件生存周期全过程。</w:t>
            </w:r>
          </w:p>
        </w:tc>
        <w:tc>
          <w:tcPr>
            <w:tcW w:w="407" w:type="pct"/>
            <w:noWrap/>
            <w:vAlign w:val="center"/>
          </w:tcPr>
          <w:p w14:paraId="07A8A43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07014AF">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《独立软件附录》2.3.4</w:t>
            </w:r>
          </w:p>
        </w:tc>
      </w:tr>
      <w:tr w14:paraId="2597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continue"/>
            <w:noWrap w:val="0"/>
            <w:vAlign w:val="center"/>
          </w:tcPr>
          <w:p w14:paraId="7F1092A1">
            <w:pPr>
              <w:jc w:val="center"/>
              <w:rPr>
                <w:rFonts w:eastAsia="仿宋_GB2312"/>
                <w:color w:val="000000"/>
                <w:sz w:val="22"/>
                <w:szCs w:val="22"/>
              </w:rPr>
            </w:pPr>
          </w:p>
        </w:tc>
        <w:tc>
          <w:tcPr>
            <w:tcW w:w="326" w:type="pct"/>
            <w:noWrap w:val="0"/>
            <w:vAlign w:val="center"/>
          </w:tcPr>
          <w:p w14:paraId="16C3E1C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74</w:t>
            </w:r>
          </w:p>
        </w:tc>
        <w:tc>
          <w:tcPr>
            <w:tcW w:w="523" w:type="pct"/>
            <w:noWrap/>
            <w:vAlign w:val="center"/>
          </w:tcPr>
          <w:p w14:paraId="5B1A9CDC">
            <w:pPr>
              <w:widowControl/>
              <w:jc w:val="center"/>
              <w:textAlignment w:val="center"/>
              <w:rPr>
                <w:rFonts w:eastAsia="仿宋_GB2312"/>
                <w:color w:val="000000"/>
                <w:sz w:val="22"/>
                <w:szCs w:val="22"/>
              </w:rPr>
            </w:pPr>
            <w:r>
              <w:rPr>
                <w:rFonts w:eastAsia="仿宋_GB2312"/>
                <w:color w:val="000000"/>
                <w:kern w:val="0"/>
                <w:sz w:val="22"/>
                <w:szCs w:val="22"/>
                <w:lang w:bidi="ar"/>
              </w:rPr>
              <w:t>7.4.1</w:t>
            </w:r>
          </w:p>
        </w:tc>
        <w:tc>
          <w:tcPr>
            <w:tcW w:w="2496" w:type="pct"/>
            <w:noWrap w:val="0"/>
            <w:vAlign w:val="center"/>
          </w:tcPr>
          <w:p w14:paraId="6916708D">
            <w:pPr>
              <w:widowControl/>
              <w:jc w:val="left"/>
              <w:textAlignment w:val="center"/>
              <w:rPr>
                <w:rFonts w:eastAsia="仿宋_GB2312"/>
                <w:color w:val="000000"/>
                <w:sz w:val="22"/>
                <w:szCs w:val="22"/>
              </w:rPr>
            </w:pPr>
            <w:r>
              <w:rPr>
                <w:rFonts w:eastAsia="仿宋_GB2312"/>
                <w:color w:val="000000"/>
                <w:kern w:val="0"/>
                <w:sz w:val="22"/>
                <w:szCs w:val="22"/>
                <w:lang w:bidi="ar"/>
              </w:rPr>
              <w:t>软件可追溯性分析应当建立控制程序并形成文件，涵盖现成软件、网络安全的控制要求，形成软件可追溯性分析报告以供评审。使用可追溯性分析工具保证软件开发、软件更新过程满足可追溯性要求，并贯穿于软件生存周期全过程。</w:t>
            </w:r>
          </w:p>
        </w:tc>
        <w:tc>
          <w:tcPr>
            <w:tcW w:w="407" w:type="pct"/>
            <w:noWrap/>
            <w:vAlign w:val="center"/>
          </w:tcPr>
          <w:p w14:paraId="05F7CF3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42B151A">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《独立软件附录》2.3.6</w:t>
            </w:r>
          </w:p>
        </w:tc>
      </w:tr>
      <w:tr w14:paraId="5DAD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continue"/>
            <w:noWrap w:val="0"/>
            <w:vAlign w:val="center"/>
          </w:tcPr>
          <w:p w14:paraId="4D78815B">
            <w:pPr>
              <w:jc w:val="center"/>
              <w:rPr>
                <w:rFonts w:eastAsia="仿宋_GB2312"/>
                <w:color w:val="000000"/>
                <w:sz w:val="22"/>
                <w:szCs w:val="22"/>
              </w:rPr>
            </w:pPr>
          </w:p>
        </w:tc>
        <w:tc>
          <w:tcPr>
            <w:tcW w:w="326" w:type="pct"/>
            <w:noWrap w:val="0"/>
            <w:vAlign w:val="center"/>
          </w:tcPr>
          <w:p w14:paraId="5BCA6FD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75</w:t>
            </w:r>
          </w:p>
        </w:tc>
        <w:tc>
          <w:tcPr>
            <w:tcW w:w="523" w:type="pct"/>
            <w:noWrap w:val="0"/>
            <w:vAlign w:val="center"/>
          </w:tcPr>
          <w:p w14:paraId="1DA4DBD7">
            <w:pPr>
              <w:widowControl/>
              <w:jc w:val="center"/>
              <w:textAlignment w:val="center"/>
              <w:rPr>
                <w:rFonts w:eastAsia="仿宋_GB2312"/>
                <w:color w:val="000000"/>
                <w:sz w:val="22"/>
                <w:szCs w:val="22"/>
              </w:rPr>
            </w:pPr>
            <w:r>
              <w:rPr>
                <w:rFonts w:eastAsia="仿宋_GB2312"/>
                <w:color w:val="000000"/>
                <w:kern w:val="0"/>
                <w:sz w:val="22"/>
                <w:szCs w:val="22"/>
                <w:lang w:bidi="ar"/>
              </w:rPr>
              <w:t>7.5.1</w:t>
            </w:r>
          </w:p>
        </w:tc>
        <w:tc>
          <w:tcPr>
            <w:tcW w:w="2496" w:type="pct"/>
            <w:noWrap w:val="0"/>
            <w:vAlign w:val="center"/>
          </w:tcPr>
          <w:p w14:paraId="786B4A22">
            <w:pPr>
              <w:widowControl/>
              <w:jc w:val="left"/>
              <w:textAlignment w:val="center"/>
              <w:rPr>
                <w:rFonts w:eastAsia="仿宋_GB2312"/>
                <w:color w:val="000000"/>
                <w:sz w:val="22"/>
                <w:szCs w:val="22"/>
              </w:rPr>
            </w:pPr>
            <w:r>
              <w:rPr>
                <w:rFonts w:eastAsia="仿宋_GB2312"/>
                <w:color w:val="000000"/>
                <w:kern w:val="0"/>
                <w:sz w:val="22"/>
                <w:szCs w:val="22"/>
                <w:lang w:bidi="ar"/>
              </w:rPr>
              <w:t>企业应当根据产品特性对设计开发进行策划，明确设计开发输入、输出、转换、验证与确认等阶段需要开展的具体活动，确定软件需求分析、软件设计、软件编码、风险管理、缺陷管理、可追溯性分析、配置管理、文件与记录控制、现成软件使用、网络安全保证、评审等活动要求，形成相关文件和记录，并适时更新。</w:t>
            </w:r>
          </w:p>
        </w:tc>
        <w:tc>
          <w:tcPr>
            <w:tcW w:w="407" w:type="pct"/>
            <w:noWrap/>
            <w:vAlign w:val="center"/>
          </w:tcPr>
          <w:p w14:paraId="0451426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F2F47ED">
            <w:pPr>
              <w:widowControl/>
              <w:jc w:val="center"/>
              <w:textAlignment w:val="center"/>
              <w:rPr>
                <w:rFonts w:eastAsia="仿宋_GB2312"/>
                <w:color w:val="000000"/>
                <w:sz w:val="22"/>
                <w:szCs w:val="22"/>
              </w:rPr>
            </w:pPr>
            <w:r>
              <w:rPr>
                <w:rFonts w:eastAsia="仿宋_GB2312"/>
                <w:color w:val="000000"/>
                <w:kern w:val="0"/>
                <w:sz w:val="22"/>
                <w:szCs w:val="22"/>
                <w:lang w:bidi="ar"/>
              </w:rPr>
              <w:t>《规范》第四十九条，</w:t>
            </w:r>
            <w:r>
              <w:rPr>
                <w:rFonts w:eastAsia="仿宋_GB2312"/>
                <w:color w:val="000000"/>
                <w:kern w:val="0"/>
                <w:sz w:val="22"/>
                <w:szCs w:val="22"/>
                <w:lang w:bidi="ar"/>
              </w:rPr>
              <w:br w:type="textWrapping"/>
            </w:r>
            <w:r>
              <w:rPr>
                <w:rFonts w:eastAsia="仿宋_GB2312"/>
                <w:color w:val="000000"/>
                <w:kern w:val="0"/>
                <w:sz w:val="22"/>
                <w:szCs w:val="22"/>
                <w:lang w:bidi="ar"/>
              </w:rPr>
              <w:t>《独立软件附录》 2.3.8</w:t>
            </w:r>
          </w:p>
        </w:tc>
      </w:tr>
      <w:tr w14:paraId="10B7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continue"/>
            <w:noWrap w:val="0"/>
            <w:vAlign w:val="center"/>
          </w:tcPr>
          <w:p w14:paraId="6C89471C">
            <w:pPr>
              <w:jc w:val="center"/>
              <w:rPr>
                <w:rFonts w:eastAsia="仿宋_GB2312"/>
                <w:color w:val="000000"/>
                <w:sz w:val="22"/>
                <w:szCs w:val="22"/>
              </w:rPr>
            </w:pPr>
          </w:p>
        </w:tc>
        <w:tc>
          <w:tcPr>
            <w:tcW w:w="326" w:type="pct"/>
            <w:noWrap w:val="0"/>
            <w:vAlign w:val="center"/>
          </w:tcPr>
          <w:p w14:paraId="47A139C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76</w:t>
            </w:r>
          </w:p>
        </w:tc>
        <w:tc>
          <w:tcPr>
            <w:tcW w:w="523" w:type="pct"/>
            <w:noWrap w:val="0"/>
            <w:vAlign w:val="center"/>
          </w:tcPr>
          <w:p w14:paraId="13DE5AE5">
            <w:pPr>
              <w:widowControl/>
              <w:jc w:val="center"/>
              <w:textAlignment w:val="center"/>
              <w:rPr>
                <w:rFonts w:eastAsia="仿宋_GB2312"/>
                <w:color w:val="000000"/>
                <w:sz w:val="22"/>
                <w:szCs w:val="22"/>
              </w:rPr>
            </w:pPr>
            <w:r>
              <w:rPr>
                <w:rFonts w:eastAsia="仿宋_GB2312"/>
                <w:color w:val="000000"/>
                <w:kern w:val="0"/>
                <w:sz w:val="22"/>
                <w:szCs w:val="22"/>
                <w:lang w:bidi="ar"/>
              </w:rPr>
              <w:t>7.5.2</w:t>
            </w:r>
          </w:p>
        </w:tc>
        <w:tc>
          <w:tcPr>
            <w:tcW w:w="2496" w:type="pct"/>
            <w:noWrap w:val="0"/>
            <w:vAlign w:val="center"/>
          </w:tcPr>
          <w:p w14:paraId="677578E5">
            <w:pPr>
              <w:widowControl/>
              <w:jc w:val="left"/>
              <w:textAlignment w:val="center"/>
              <w:rPr>
                <w:rFonts w:eastAsia="仿宋_GB2312"/>
                <w:color w:val="000000"/>
                <w:sz w:val="22"/>
                <w:szCs w:val="22"/>
              </w:rPr>
            </w:pPr>
            <w:r>
              <w:rPr>
                <w:rFonts w:eastAsia="仿宋_GB2312"/>
                <w:color w:val="000000"/>
                <w:kern w:val="0"/>
                <w:sz w:val="22"/>
                <w:szCs w:val="22"/>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407" w:type="pct"/>
            <w:noWrap/>
            <w:vAlign w:val="center"/>
          </w:tcPr>
          <w:p w14:paraId="5E235DA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3BBA753">
            <w:pPr>
              <w:widowControl/>
              <w:jc w:val="center"/>
              <w:textAlignment w:val="center"/>
              <w:rPr>
                <w:rFonts w:eastAsia="仿宋_GB2312"/>
                <w:color w:val="000000"/>
                <w:sz w:val="22"/>
                <w:szCs w:val="22"/>
              </w:rPr>
            </w:pPr>
            <w:r>
              <w:rPr>
                <w:rFonts w:eastAsia="仿宋_GB2312"/>
                <w:color w:val="000000"/>
                <w:kern w:val="0"/>
                <w:sz w:val="22"/>
                <w:szCs w:val="22"/>
                <w:lang w:bidi="ar"/>
              </w:rPr>
              <w:t>《规范》第四十九条</w:t>
            </w:r>
          </w:p>
        </w:tc>
      </w:tr>
      <w:tr w14:paraId="3355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31DF9A56">
            <w:pPr>
              <w:jc w:val="center"/>
              <w:rPr>
                <w:rFonts w:eastAsia="仿宋_GB2312"/>
                <w:color w:val="000000"/>
                <w:sz w:val="22"/>
                <w:szCs w:val="22"/>
              </w:rPr>
            </w:pPr>
          </w:p>
        </w:tc>
        <w:tc>
          <w:tcPr>
            <w:tcW w:w="326" w:type="pct"/>
            <w:noWrap w:val="0"/>
            <w:vAlign w:val="center"/>
          </w:tcPr>
          <w:p w14:paraId="66521B5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77</w:t>
            </w:r>
          </w:p>
        </w:tc>
        <w:tc>
          <w:tcPr>
            <w:tcW w:w="523" w:type="pct"/>
            <w:noWrap w:val="0"/>
            <w:vAlign w:val="center"/>
          </w:tcPr>
          <w:p w14:paraId="550E4438">
            <w:pPr>
              <w:widowControl/>
              <w:jc w:val="center"/>
              <w:textAlignment w:val="center"/>
              <w:rPr>
                <w:rFonts w:eastAsia="仿宋_GB2312"/>
                <w:color w:val="000000"/>
                <w:sz w:val="22"/>
                <w:szCs w:val="22"/>
              </w:rPr>
            </w:pPr>
            <w:r>
              <w:rPr>
                <w:rFonts w:eastAsia="仿宋_GB2312"/>
                <w:color w:val="000000"/>
                <w:kern w:val="0"/>
                <w:sz w:val="22"/>
                <w:szCs w:val="22"/>
                <w:lang w:bidi="ar"/>
              </w:rPr>
              <w:t>7.5.3</w:t>
            </w:r>
          </w:p>
        </w:tc>
        <w:tc>
          <w:tcPr>
            <w:tcW w:w="2496" w:type="pct"/>
            <w:noWrap w:val="0"/>
            <w:vAlign w:val="center"/>
          </w:tcPr>
          <w:p w14:paraId="251C2118">
            <w:pPr>
              <w:widowControl/>
              <w:jc w:val="left"/>
              <w:textAlignment w:val="center"/>
              <w:rPr>
                <w:rFonts w:eastAsia="仿宋_GB2312"/>
                <w:color w:val="000000"/>
                <w:sz w:val="22"/>
                <w:szCs w:val="22"/>
              </w:rPr>
            </w:pPr>
            <w:r>
              <w:rPr>
                <w:rFonts w:eastAsia="仿宋_GB2312"/>
                <w:color w:val="000000"/>
                <w:kern w:val="0"/>
                <w:sz w:val="22"/>
                <w:szCs w:val="22"/>
                <w:lang w:bidi="ar"/>
              </w:rPr>
              <w:t>软件开发策划应当保证软件开发和测试的人员及环境与软件开发要求相适宜。</w:t>
            </w:r>
          </w:p>
        </w:tc>
        <w:tc>
          <w:tcPr>
            <w:tcW w:w="407" w:type="pct"/>
            <w:noWrap w:val="0"/>
            <w:vAlign w:val="center"/>
          </w:tcPr>
          <w:p w14:paraId="7815B103">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AA1470B">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 2.3.8</w:t>
            </w:r>
          </w:p>
        </w:tc>
      </w:tr>
      <w:tr w14:paraId="671C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1" w:hRule="atLeast"/>
          <w:jc w:val="center"/>
        </w:trPr>
        <w:tc>
          <w:tcPr>
            <w:tcW w:w="589" w:type="pct"/>
            <w:vMerge w:val="continue"/>
            <w:noWrap w:val="0"/>
            <w:vAlign w:val="center"/>
          </w:tcPr>
          <w:p w14:paraId="4BC36CD2">
            <w:pPr>
              <w:jc w:val="center"/>
              <w:rPr>
                <w:rFonts w:eastAsia="仿宋_GB2312"/>
                <w:color w:val="000000"/>
                <w:sz w:val="22"/>
                <w:szCs w:val="22"/>
              </w:rPr>
            </w:pPr>
          </w:p>
        </w:tc>
        <w:tc>
          <w:tcPr>
            <w:tcW w:w="326" w:type="pct"/>
            <w:noWrap w:val="0"/>
            <w:vAlign w:val="center"/>
          </w:tcPr>
          <w:p w14:paraId="7C9799C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78</w:t>
            </w:r>
          </w:p>
        </w:tc>
        <w:tc>
          <w:tcPr>
            <w:tcW w:w="523" w:type="pct"/>
            <w:noWrap w:val="0"/>
            <w:vAlign w:val="center"/>
          </w:tcPr>
          <w:p w14:paraId="134CB54F">
            <w:pPr>
              <w:widowControl/>
              <w:jc w:val="center"/>
              <w:textAlignment w:val="center"/>
              <w:rPr>
                <w:rFonts w:eastAsia="仿宋_GB2312"/>
                <w:color w:val="000000"/>
                <w:sz w:val="22"/>
                <w:szCs w:val="22"/>
              </w:rPr>
            </w:pPr>
            <w:r>
              <w:rPr>
                <w:rFonts w:eastAsia="仿宋_GB2312"/>
                <w:color w:val="000000"/>
                <w:kern w:val="0"/>
                <w:sz w:val="22"/>
                <w:szCs w:val="22"/>
                <w:lang w:bidi="ar"/>
              </w:rPr>
              <w:t>7.6.1</w:t>
            </w:r>
          </w:p>
        </w:tc>
        <w:tc>
          <w:tcPr>
            <w:tcW w:w="2496" w:type="pct"/>
            <w:noWrap w:val="0"/>
            <w:vAlign w:val="center"/>
          </w:tcPr>
          <w:p w14:paraId="6CBF8C77">
            <w:pPr>
              <w:widowControl/>
              <w:jc w:val="left"/>
              <w:textAlignment w:val="center"/>
              <w:rPr>
                <w:rFonts w:eastAsia="仿宋_GB2312"/>
                <w:color w:val="000000"/>
                <w:sz w:val="22"/>
                <w:szCs w:val="22"/>
              </w:rPr>
            </w:pPr>
            <w:r>
              <w:rPr>
                <w:rFonts w:eastAsia="仿宋_GB2312"/>
                <w:color w:val="000000"/>
                <w:kern w:val="0"/>
                <w:sz w:val="22"/>
                <w:szCs w:val="22"/>
                <w:lang w:bidi="ar"/>
              </w:rPr>
              <w:t>设计开发输入应当开展软件需求分析，综合分析法规、标准、用户、产品、功能、性能、接口、用户界面、网络安全、警示提示等软件需求，确定风险管理、可追溯性分析、现成软件使用评估、软件确认测试计划创建、评审等活动要求，形成软件需求规范和评审记录并经批准，适时更新并经批准。可追溯性分析此时应当分析软件需求与风险管理、软件需求与产品需求的关系。</w:t>
            </w:r>
          </w:p>
        </w:tc>
        <w:tc>
          <w:tcPr>
            <w:tcW w:w="407" w:type="pct"/>
            <w:noWrap/>
            <w:vAlign w:val="center"/>
          </w:tcPr>
          <w:p w14:paraId="6C93EB6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B4BD0E4">
            <w:pPr>
              <w:widowControl/>
              <w:jc w:val="center"/>
              <w:textAlignment w:val="center"/>
              <w:rPr>
                <w:rFonts w:eastAsia="仿宋_GB2312"/>
                <w:color w:val="000000"/>
                <w:sz w:val="22"/>
                <w:szCs w:val="22"/>
              </w:rPr>
            </w:pPr>
            <w:r>
              <w:rPr>
                <w:rFonts w:eastAsia="仿宋_GB2312"/>
                <w:color w:val="000000"/>
                <w:kern w:val="0"/>
                <w:sz w:val="22"/>
                <w:szCs w:val="22"/>
                <w:lang w:bidi="ar"/>
              </w:rPr>
              <w:t>《规范》第五十条，</w:t>
            </w:r>
            <w:r>
              <w:rPr>
                <w:rFonts w:eastAsia="仿宋_GB2312"/>
                <w:color w:val="000000"/>
                <w:kern w:val="0"/>
                <w:sz w:val="22"/>
                <w:szCs w:val="22"/>
                <w:lang w:bidi="ar"/>
              </w:rPr>
              <w:br w:type="textWrapping"/>
            </w:r>
            <w:r>
              <w:rPr>
                <w:rFonts w:eastAsia="仿宋_GB2312"/>
                <w:color w:val="000000"/>
                <w:kern w:val="0"/>
                <w:sz w:val="22"/>
                <w:szCs w:val="22"/>
                <w:lang w:bidi="ar"/>
              </w:rPr>
              <w:t>《独立软件附录》2.3.9</w:t>
            </w:r>
          </w:p>
        </w:tc>
      </w:tr>
      <w:tr w14:paraId="160D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589" w:type="pct"/>
            <w:vMerge w:val="continue"/>
            <w:noWrap w:val="0"/>
            <w:vAlign w:val="center"/>
          </w:tcPr>
          <w:p w14:paraId="20BBE178">
            <w:pPr>
              <w:jc w:val="center"/>
              <w:rPr>
                <w:rFonts w:eastAsia="仿宋_GB2312"/>
                <w:color w:val="000000"/>
                <w:sz w:val="22"/>
                <w:szCs w:val="22"/>
              </w:rPr>
            </w:pPr>
          </w:p>
        </w:tc>
        <w:tc>
          <w:tcPr>
            <w:tcW w:w="326" w:type="pct"/>
            <w:noWrap w:val="0"/>
            <w:vAlign w:val="center"/>
          </w:tcPr>
          <w:p w14:paraId="28E3ABB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79</w:t>
            </w:r>
          </w:p>
        </w:tc>
        <w:tc>
          <w:tcPr>
            <w:tcW w:w="523" w:type="pct"/>
            <w:noWrap w:val="0"/>
            <w:vAlign w:val="center"/>
          </w:tcPr>
          <w:p w14:paraId="03935BD6">
            <w:pPr>
              <w:widowControl/>
              <w:jc w:val="center"/>
              <w:textAlignment w:val="center"/>
              <w:rPr>
                <w:rFonts w:eastAsia="仿宋_GB2312"/>
                <w:color w:val="000000"/>
                <w:sz w:val="22"/>
                <w:szCs w:val="22"/>
              </w:rPr>
            </w:pPr>
            <w:r>
              <w:rPr>
                <w:rFonts w:eastAsia="仿宋_GB2312"/>
                <w:color w:val="000000"/>
                <w:kern w:val="0"/>
                <w:sz w:val="22"/>
                <w:szCs w:val="22"/>
                <w:lang w:bidi="ar"/>
              </w:rPr>
              <w:t>7.7.1</w:t>
            </w:r>
          </w:p>
        </w:tc>
        <w:tc>
          <w:tcPr>
            <w:tcW w:w="2496" w:type="pct"/>
            <w:noWrap w:val="0"/>
            <w:vAlign w:val="center"/>
          </w:tcPr>
          <w:p w14:paraId="28F2B267">
            <w:pPr>
              <w:widowControl/>
              <w:jc w:val="left"/>
              <w:textAlignment w:val="center"/>
              <w:rPr>
                <w:rFonts w:eastAsia="仿宋_GB2312"/>
                <w:color w:val="000000"/>
                <w:sz w:val="22"/>
                <w:szCs w:val="22"/>
              </w:rPr>
            </w:pPr>
            <w:r>
              <w:rPr>
                <w:rFonts w:eastAsia="仿宋_GB2312"/>
                <w:color w:val="000000"/>
                <w:kern w:val="0"/>
                <w:sz w:val="22"/>
                <w:szCs w:val="22"/>
                <w:lang w:bidi="ar"/>
              </w:rPr>
              <w:t>软件设计应当依据软件需求规范实施软件体系架构、功能、性能、算法、接口、用户界面、单元、网络安全等设计，确定风险管理、可追溯性分析、现成软件使用评估、软件验证测试计划创建、评审等活动要求，形成软件设计规范和评审记录并经批准，适时更新并经批准。可追溯性分析此时应当分析软件设计与软件需求之间的关系。</w:t>
            </w:r>
          </w:p>
        </w:tc>
        <w:tc>
          <w:tcPr>
            <w:tcW w:w="407" w:type="pct"/>
            <w:noWrap/>
            <w:vAlign w:val="center"/>
          </w:tcPr>
          <w:p w14:paraId="23BBBFC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985C5B1">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《独立软件附录》2.3.10</w:t>
            </w:r>
          </w:p>
        </w:tc>
      </w:tr>
      <w:tr w14:paraId="226D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589" w:type="pct"/>
            <w:vMerge w:val="continue"/>
            <w:noWrap w:val="0"/>
            <w:vAlign w:val="center"/>
          </w:tcPr>
          <w:p w14:paraId="79C79FCE">
            <w:pPr>
              <w:jc w:val="center"/>
              <w:rPr>
                <w:rFonts w:eastAsia="仿宋_GB2312"/>
                <w:color w:val="000000"/>
                <w:sz w:val="22"/>
                <w:szCs w:val="22"/>
              </w:rPr>
            </w:pPr>
          </w:p>
        </w:tc>
        <w:tc>
          <w:tcPr>
            <w:tcW w:w="326" w:type="pct"/>
            <w:noWrap w:val="0"/>
            <w:vAlign w:val="center"/>
          </w:tcPr>
          <w:p w14:paraId="5FB0550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80</w:t>
            </w:r>
          </w:p>
        </w:tc>
        <w:tc>
          <w:tcPr>
            <w:tcW w:w="523" w:type="pct"/>
            <w:noWrap w:val="0"/>
            <w:vAlign w:val="center"/>
          </w:tcPr>
          <w:p w14:paraId="38B93CCC">
            <w:pPr>
              <w:widowControl/>
              <w:jc w:val="center"/>
              <w:textAlignment w:val="center"/>
              <w:rPr>
                <w:rFonts w:eastAsia="仿宋_GB2312"/>
                <w:color w:val="000000"/>
                <w:sz w:val="22"/>
                <w:szCs w:val="22"/>
              </w:rPr>
            </w:pPr>
            <w:r>
              <w:rPr>
                <w:rFonts w:eastAsia="仿宋_GB2312"/>
                <w:color w:val="000000"/>
                <w:kern w:val="0"/>
                <w:sz w:val="22"/>
                <w:szCs w:val="22"/>
                <w:lang w:bidi="ar"/>
              </w:rPr>
              <w:t>7.8.1</w:t>
            </w:r>
          </w:p>
        </w:tc>
        <w:tc>
          <w:tcPr>
            <w:tcW w:w="2496" w:type="pct"/>
            <w:noWrap w:val="0"/>
            <w:vAlign w:val="center"/>
          </w:tcPr>
          <w:p w14:paraId="4C04F5F4">
            <w:pPr>
              <w:widowControl/>
              <w:jc w:val="left"/>
              <w:textAlignment w:val="center"/>
              <w:rPr>
                <w:rFonts w:eastAsia="仿宋_GB2312"/>
                <w:color w:val="000000"/>
                <w:sz w:val="22"/>
                <w:szCs w:val="22"/>
              </w:rPr>
            </w:pPr>
            <w:r>
              <w:rPr>
                <w:rFonts w:eastAsia="仿宋_GB2312"/>
                <w:color w:val="000000"/>
                <w:kern w:val="0"/>
                <w:sz w:val="22"/>
                <w:szCs w:val="22"/>
                <w:lang w:bidi="ar"/>
              </w:rPr>
              <w:t>软件编码应当依据软件设计规范实施，确定源代码编写与注释、现成软件使用、可追溯性分析、各级测试用例创建、评审等活动要求，形成评审记录，并适时更新。源代码编写与注释应当符合软件编码规则文件的要求。测试用例应当保证软件验证与确认测试的充分性、适宜性、有效性。可追溯性分析此时应当分析源代码与软件设计、源代码与测试用例的关系。</w:t>
            </w:r>
          </w:p>
        </w:tc>
        <w:tc>
          <w:tcPr>
            <w:tcW w:w="407" w:type="pct"/>
            <w:noWrap/>
            <w:vAlign w:val="center"/>
          </w:tcPr>
          <w:p w14:paraId="4A508E53">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E09993D">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《独立软件附录》2.3.11</w:t>
            </w:r>
          </w:p>
        </w:tc>
      </w:tr>
      <w:tr w14:paraId="1339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589" w:type="pct"/>
            <w:vMerge w:val="continue"/>
            <w:noWrap w:val="0"/>
            <w:vAlign w:val="center"/>
          </w:tcPr>
          <w:p w14:paraId="3FB49321">
            <w:pPr>
              <w:jc w:val="center"/>
              <w:rPr>
                <w:rFonts w:eastAsia="仿宋_GB2312"/>
                <w:color w:val="000000"/>
                <w:sz w:val="22"/>
                <w:szCs w:val="22"/>
              </w:rPr>
            </w:pPr>
          </w:p>
        </w:tc>
        <w:tc>
          <w:tcPr>
            <w:tcW w:w="326" w:type="pct"/>
            <w:noWrap w:val="0"/>
            <w:vAlign w:val="center"/>
          </w:tcPr>
          <w:p w14:paraId="60CF7B7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81</w:t>
            </w:r>
          </w:p>
        </w:tc>
        <w:tc>
          <w:tcPr>
            <w:tcW w:w="523" w:type="pct"/>
            <w:noWrap w:val="0"/>
            <w:vAlign w:val="center"/>
          </w:tcPr>
          <w:p w14:paraId="7C6522E1">
            <w:pPr>
              <w:widowControl/>
              <w:jc w:val="center"/>
              <w:textAlignment w:val="center"/>
              <w:rPr>
                <w:rFonts w:eastAsia="仿宋_GB2312"/>
                <w:color w:val="000000"/>
                <w:sz w:val="22"/>
                <w:szCs w:val="22"/>
              </w:rPr>
            </w:pPr>
            <w:r>
              <w:rPr>
                <w:rFonts w:eastAsia="仿宋_GB2312"/>
                <w:color w:val="000000"/>
                <w:kern w:val="0"/>
                <w:sz w:val="22"/>
                <w:szCs w:val="22"/>
                <w:lang w:bidi="ar"/>
              </w:rPr>
              <w:t>7.9.1</w:t>
            </w:r>
          </w:p>
        </w:tc>
        <w:tc>
          <w:tcPr>
            <w:tcW w:w="2496" w:type="pct"/>
            <w:noWrap w:val="0"/>
            <w:vAlign w:val="center"/>
          </w:tcPr>
          <w:p w14:paraId="75C5649B">
            <w:pPr>
              <w:widowControl/>
              <w:jc w:val="left"/>
              <w:textAlignment w:val="center"/>
              <w:rPr>
                <w:rFonts w:eastAsia="仿宋_GB2312"/>
                <w:color w:val="000000"/>
                <w:sz w:val="22"/>
                <w:szCs w:val="22"/>
              </w:rPr>
            </w:pPr>
            <w:r>
              <w:rPr>
                <w:rFonts w:eastAsia="仿宋_GB2312"/>
                <w:color w:val="000000"/>
                <w:kern w:val="0"/>
                <w:sz w:val="22"/>
                <w:szCs w:val="22"/>
                <w:lang w:bidi="ar"/>
              </w:rPr>
              <w:t>设计开发输出应当满足各阶段的输入要求。</w:t>
            </w:r>
          </w:p>
        </w:tc>
        <w:tc>
          <w:tcPr>
            <w:tcW w:w="407" w:type="pct"/>
            <w:noWrap/>
            <w:vAlign w:val="center"/>
          </w:tcPr>
          <w:p w14:paraId="190190F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9AC5999">
            <w:pPr>
              <w:widowControl/>
              <w:jc w:val="center"/>
              <w:textAlignment w:val="center"/>
              <w:rPr>
                <w:rFonts w:eastAsia="仿宋_GB2312"/>
                <w:color w:val="000000"/>
                <w:sz w:val="22"/>
                <w:szCs w:val="22"/>
              </w:rPr>
            </w:pPr>
            <w:r>
              <w:rPr>
                <w:rFonts w:eastAsia="仿宋_GB2312"/>
                <w:color w:val="000000"/>
                <w:kern w:val="0"/>
                <w:sz w:val="22"/>
                <w:szCs w:val="22"/>
                <w:lang w:bidi="ar"/>
              </w:rPr>
              <w:t>《规范》第五十一条</w:t>
            </w:r>
          </w:p>
        </w:tc>
      </w:tr>
      <w:tr w14:paraId="02A3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589" w:type="pct"/>
            <w:vMerge w:val="continue"/>
            <w:noWrap w:val="0"/>
            <w:vAlign w:val="center"/>
          </w:tcPr>
          <w:p w14:paraId="55C64C19">
            <w:pPr>
              <w:jc w:val="center"/>
              <w:rPr>
                <w:rFonts w:eastAsia="仿宋_GB2312"/>
                <w:color w:val="000000"/>
                <w:sz w:val="22"/>
                <w:szCs w:val="22"/>
              </w:rPr>
            </w:pPr>
          </w:p>
        </w:tc>
        <w:tc>
          <w:tcPr>
            <w:tcW w:w="326" w:type="pct"/>
            <w:noWrap w:val="0"/>
            <w:vAlign w:val="center"/>
          </w:tcPr>
          <w:p w14:paraId="282E247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82</w:t>
            </w:r>
          </w:p>
        </w:tc>
        <w:tc>
          <w:tcPr>
            <w:tcW w:w="523" w:type="pct"/>
            <w:noWrap w:val="0"/>
            <w:vAlign w:val="center"/>
          </w:tcPr>
          <w:p w14:paraId="42BE5982">
            <w:pPr>
              <w:widowControl/>
              <w:jc w:val="center"/>
              <w:textAlignment w:val="center"/>
              <w:rPr>
                <w:rFonts w:eastAsia="仿宋_GB2312"/>
                <w:color w:val="000000"/>
                <w:sz w:val="22"/>
                <w:szCs w:val="22"/>
              </w:rPr>
            </w:pPr>
            <w:r>
              <w:rPr>
                <w:rFonts w:eastAsia="仿宋_GB2312"/>
                <w:color w:val="000000"/>
                <w:kern w:val="0"/>
                <w:sz w:val="22"/>
                <w:szCs w:val="22"/>
                <w:lang w:bidi="ar"/>
              </w:rPr>
              <w:t>7.9.2</w:t>
            </w:r>
          </w:p>
        </w:tc>
        <w:tc>
          <w:tcPr>
            <w:tcW w:w="2496" w:type="pct"/>
            <w:noWrap w:val="0"/>
            <w:vAlign w:val="center"/>
          </w:tcPr>
          <w:p w14:paraId="09F41255">
            <w:pPr>
              <w:widowControl/>
              <w:jc w:val="left"/>
              <w:textAlignment w:val="center"/>
              <w:rPr>
                <w:rFonts w:hint="eastAsia" w:eastAsia="仿宋_GB2312"/>
                <w:color w:val="000000"/>
                <w:sz w:val="22"/>
                <w:szCs w:val="22"/>
                <w:lang w:val="en-US" w:eastAsia="zh-CN"/>
              </w:rPr>
            </w:pPr>
            <w:r>
              <w:rPr>
                <w:rFonts w:eastAsia="仿宋_GB2312"/>
                <w:color w:val="000000"/>
                <w:kern w:val="0"/>
                <w:sz w:val="22"/>
                <w:szCs w:val="22"/>
                <w:lang w:bidi="ar"/>
              </w:rPr>
              <w:t>设计开发输出至少应当包括源代码、软件技术文档、采购、生产、检验、使用和服务所需的相关信息以及产品技术要求等。设计开发输出应当经过验证并得到批准。</w:t>
            </w:r>
            <w:r>
              <w:rPr>
                <w:rFonts w:hint="eastAsia" w:eastAsia="仿宋_GB2312"/>
                <w:color w:val="000000"/>
                <w:kern w:val="0"/>
                <w:sz w:val="22"/>
                <w:szCs w:val="22"/>
                <w:lang w:val="en-US" w:eastAsia="zh-CN" w:bidi="ar"/>
              </w:rPr>
              <w:t xml:space="preserve"> </w:t>
            </w:r>
          </w:p>
        </w:tc>
        <w:tc>
          <w:tcPr>
            <w:tcW w:w="407" w:type="pct"/>
            <w:noWrap/>
            <w:vAlign w:val="center"/>
          </w:tcPr>
          <w:p w14:paraId="2042E61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FF3B07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《规范》第五十一条</w:t>
            </w:r>
            <w:r>
              <w:rPr>
                <w:rFonts w:hint="eastAsia" w:eastAsia="仿宋_GB2312"/>
                <w:color w:val="000000"/>
                <w:kern w:val="0"/>
                <w:sz w:val="22"/>
                <w:szCs w:val="22"/>
                <w:lang w:bidi="ar"/>
              </w:rPr>
              <w:t>，</w:t>
            </w:r>
          </w:p>
          <w:p w14:paraId="2ED2376D">
            <w:pPr>
              <w:widowControl/>
              <w:jc w:val="center"/>
              <w:textAlignment w:val="center"/>
              <w:rPr>
                <w:rFonts w:hint="default" w:eastAsia="仿宋_GB2312"/>
                <w:color w:val="000000"/>
                <w:sz w:val="22"/>
                <w:szCs w:val="22"/>
                <w:lang w:val="en-US" w:eastAsia="zh-CN"/>
              </w:rPr>
            </w:pPr>
            <w:r>
              <w:rPr>
                <w:rFonts w:hint="eastAsia" w:eastAsia="仿宋_GB2312"/>
                <w:color w:val="000000"/>
                <w:sz w:val="22"/>
                <w:szCs w:val="22"/>
              </w:rPr>
              <w:t>《独立软件附录》2.3.4</w:t>
            </w:r>
          </w:p>
        </w:tc>
      </w:tr>
      <w:tr w14:paraId="2D15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jc w:val="center"/>
        </w:trPr>
        <w:tc>
          <w:tcPr>
            <w:tcW w:w="589" w:type="pct"/>
            <w:vMerge w:val="continue"/>
            <w:noWrap w:val="0"/>
            <w:vAlign w:val="center"/>
          </w:tcPr>
          <w:p w14:paraId="427240FD">
            <w:pPr>
              <w:jc w:val="center"/>
              <w:rPr>
                <w:rFonts w:eastAsia="仿宋_GB2312"/>
                <w:color w:val="000000"/>
                <w:sz w:val="22"/>
                <w:szCs w:val="22"/>
              </w:rPr>
            </w:pPr>
          </w:p>
        </w:tc>
        <w:tc>
          <w:tcPr>
            <w:tcW w:w="326" w:type="pct"/>
            <w:noWrap w:val="0"/>
            <w:vAlign w:val="center"/>
          </w:tcPr>
          <w:p w14:paraId="773F6AD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83</w:t>
            </w:r>
          </w:p>
        </w:tc>
        <w:tc>
          <w:tcPr>
            <w:tcW w:w="523" w:type="pct"/>
            <w:noWrap w:val="0"/>
            <w:vAlign w:val="center"/>
          </w:tcPr>
          <w:p w14:paraId="71538EF7">
            <w:pPr>
              <w:widowControl/>
              <w:jc w:val="center"/>
              <w:textAlignment w:val="center"/>
              <w:rPr>
                <w:rFonts w:eastAsia="仿宋_GB2312"/>
                <w:color w:val="000000"/>
                <w:sz w:val="22"/>
                <w:szCs w:val="22"/>
              </w:rPr>
            </w:pPr>
            <w:r>
              <w:rPr>
                <w:rFonts w:eastAsia="仿宋_GB2312"/>
                <w:color w:val="000000"/>
                <w:kern w:val="0"/>
                <w:sz w:val="22"/>
                <w:szCs w:val="22"/>
                <w:lang w:bidi="ar"/>
              </w:rPr>
              <w:t>7.10.1</w:t>
            </w:r>
          </w:p>
        </w:tc>
        <w:tc>
          <w:tcPr>
            <w:tcW w:w="2496" w:type="pct"/>
            <w:noWrap w:val="0"/>
            <w:vAlign w:val="center"/>
          </w:tcPr>
          <w:p w14:paraId="1511145A">
            <w:pPr>
              <w:widowControl/>
              <w:jc w:val="left"/>
              <w:textAlignment w:val="center"/>
              <w:rPr>
                <w:rFonts w:eastAsia="仿宋_GB2312"/>
                <w:color w:val="000000"/>
                <w:sz w:val="22"/>
                <w:szCs w:val="22"/>
              </w:rPr>
            </w:pPr>
            <w:r>
              <w:rPr>
                <w:rFonts w:eastAsia="仿宋_GB2312"/>
                <w:color w:val="000000"/>
                <w:kern w:val="0"/>
                <w:sz w:val="22"/>
                <w:szCs w:val="22"/>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407" w:type="pct"/>
            <w:noWrap w:val="0"/>
            <w:vAlign w:val="center"/>
          </w:tcPr>
          <w:p w14:paraId="3DCE880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63151F5">
            <w:pPr>
              <w:widowControl/>
              <w:jc w:val="center"/>
              <w:textAlignment w:val="center"/>
              <w:rPr>
                <w:rFonts w:eastAsia="仿宋_GB2312"/>
                <w:color w:val="000000"/>
                <w:sz w:val="22"/>
                <w:szCs w:val="22"/>
              </w:rPr>
            </w:pPr>
            <w:r>
              <w:rPr>
                <w:rFonts w:eastAsia="仿宋_GB2312"/>
                <w:color w:val="000000"/>
                <w:kern w:val="0"/>
                <w:sz w:val="22"/>
                <w:szCs w:val="22"/>
                <w:lang w:bidi="ar"/>
              </w:rPr>
              <w:t>《规范》第五十二条</w:t>
            </w:r>
          </w:p>
        </w:tc>
      </w:tr>
      <w:tr w14:paraId="42CE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589" w:type="pct"/>
            <w:vMerge w:val="continue"/>
            <w:noWrap w:val="0"/>
            <w:vAlign w:val="center"/>
          </w:tcPr>
          <w:p w14:paraId="43AF5737">
            <w:pPr>
              <w:jc w:val="center"/>
              <w:rPr>
                <w:rFonts w:eastAsia="仿宋_GB2312"/>
                <w:color w:val="000000"/>
                <w:sz w:val="22"/>
                <w:szCs w:val="22"/>
              </w:rPr>
            </w:pPr>
          </w:p>
        </w:tc>
        <w:tc>
          <w:tcPr>
            <w:tcW w:w="326" w:type="pct"/>
            <w:noWrap w:val="0"/>
            <w:vAlign w:val="center"/>
          </w:tcPr>
          <w:p w14:paraId="60E8027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84</w:t>
            </w:r>
          </w:p>
        </w:tc>
        <w:tc>
          <w:tcPr>
            <w:tcW w:w="523" w:type="pct"/>
            <w:noWrap w:val="0"/>
            <w:vAlign w:val="center"/>
          </w:tcPr>
          <w:p w14:paraId="0341E2B3">
            <w:pPr>
              <w:widowControl/>
              <w:jc w:val="center"/>
              <w:textAlignment w:val="center"/>
              <w:rPr>
                <w:rFonts w:eastAsia="仿宋_GB2312"/>
                <w:color w:val="000000"/>
                <w:sz w:val="22"/>
                <w:szCs w:val="22"/>
              </w:rPr>
            </w:pPr>
            <w:r>
              <w:rPr>
                <w:rFonts w:eastAsia="仿宋_GB2312"/>
                <w:color w:val="000000"/>
                <w:kern w:val="0"/>
                <w:sz w:val="22"/>
                <w:szCs w:val="22"/>
                <w:lang w:bidi="ar"/>
              </w:rPr>
              <w:t>7.11.1</w:t>
            </w:r>
          </w:p>
        </w:tc>
        <w:tc>
          <w:tcPr>
            <w:tcW w:w="2496" w:type="pct"/>
            <w:noWrap w:val="0"/>
            <w:vAlign w:val="center"/>
          </w:tcPr>
          <w:p w14:paraId="7704039F">
            <w:pPr>
              <w:widowControl/>
              <w:jc w:val="left"/>
              <w:textAlignment w:val="center"/>
              <w:rPr>
                <w:rFonts w:eastAsia="仿宋_GB2312"/>
                <w:color w:val="000000"/>
                <w:sz w:val="22"/>
                <w:szCs w:val="22"/>
              </w:rPr>
            </w:pPr>
            <w:r>
              <w:rPr>
                <w:rFonts w:eastAsia="仿宋_GB2312"/>
                <w:color w:val="000000"/>
                <w:kern w:val="0"/>
                <w:sz w:val="22"/>
                <w:szCs w:val="22"/>
                <w:lang w:bidi="ar"/>
              </w:rPr>
              <w:t>企业应当在设计开发的适宜阶段进行评审，持续评价设计开发输出满足输入要求的能力，识别问题并提出必要的改进措施。</w:t>
            </w:r>
          </w:p>
        </w:tc>
        <w:tc>
          <w:tcPr>
            <w:tcW w:w="407" w:type="pct"/>
            <w:noWrap w:val="0"/>
            <w:vAlign w:val="center"/>
          </w:tcPr>
          <w:p w14:paraId="49DF2B6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9884684">
            <w:pPr>
              <w:widowControl/>
              <w:jc w:val="center"/>
              <w:textAlignment w:val="center"/>
              <w:rPr>
                <w:rFonts w:eastAsia="仿宋_GB2312"/>
                <w:color w:val="000000"/>
                <w:sz w:val="22"/>
                <w:szCs w:val="22"/>
              </w:rPr>
            </w:pPr>
            <w:r>
              <w:rPr>
                <w:rFonts w:eastAsia="仿宋_GB2312"/>
                <w:color w:val="000000"/>
                <w:kern w:val="0"/>
                <w:sz w:val="22"/>
                <w:szCs w:val="22"/>
                <w:lang w:bidi="ar"/>
              </w:rPr>
              <w:t>《规范》第五十三条</w:t>
            </w:r>
          </w:p>
        </w:tc>
      </w:tr>
      <w:tr w14:paraId="0050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589" w:type="pct"/>
            <w:vMerge w:val="continue"/>
            <w:noWrap w:val="0"/>
            <w:vAlign w:val="center"/>
          </w:tcPr>
          <w:p w14:paraId="13AACA82">
            <w:pPr>
              <w:jc w:val="center"/>
              <w:rPr>
                <w:rFonts w:eastAsia="仿宋_GB2312"/>
                <w:color w:val="000000"/>
                <w:sz w:val="22"/>
                <w:szCs w:val="22"/>
              </w:rPr>
            </w:pPr>
          </w:p>
        </w:tc>
        <w:tc>
          <w:tcPr>
            <w:tcW w:w="326" w:type="pct"/>
            <w:noWrap w:val="0"/>
            <w:vAlign w:val="center"/>
          </w:tcPr>
          <w:p w14:paraId="7536988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85</w:t>
            </w:r>
          </w:p>
        </w:tc>
        <w:tc>
          <w:tcPr>
            <w:tcW w:w="523" w:type="pct"/>
            <w:noWrap w:val="0"/>
            <w:vAlign w:val="center"/>
          </w:tcPr>
          <w:p w14:paraId="556E8926">
            <w:pPr>
              <w:widowControl/>
              <w:jc w:val="center"/>
              <w:textAlignment w:val="center"/>
              <w:rPr>
                <w:rFonts w:eastAsia="仿宋_GB2312"/>
                <w:color w:val="000000"/>
                <w:sz w:val="22"/>
                <w:szCs w:val="22"/>
              </w:rPr>
            </w:pPr>
            <w:r>
              <w:rPr>
                <w:rFonts w:eastAsia="仿宋_GB2312"/>
                <w:color w:val="000000"/>
                <w:kern w:val="0"/>
                <w:sz w:val="22"/>
                <w:szCs w:val="22"/>
                <w:lang w:bidi="ar"/>
              </w:rPr>
              <w:t>7.12.1</w:t>
            </w:r>
          </w:p>
        </w:tc>
        <w:tc>
          <w:tcPr>
            <w:tcW w:w="2496" w:type="pct"/>
            <w:noWrap w:val="0"/>
            <w:vAlign w:val="center"/>
          </w:tcPr>
          <w:p w14:paraId="25646FF1">
            <w:pPr>
              <w:widowControl/>
              <w:jc w:val="left"/>
              <w:textAlignment w:val="center"/>
              <w:rPr>
                <w:rFonts w:eastAsia="仿宋_GB2312"/>
                <w:color w:val="000000"/>
                <w:sz w:val="22"/>
                <w:szCs w:val="22"/>
              </w:rPr>
            </w:pPr>
            <w:r>
              <w:rPr>
                <w:rFonts w:eastAsia="仿宋_GB2312"/>
                <w:color w:val="000000"/>
                <w:kern w:val="0"/>
                <w:sz w:val="22"/>
                <w:szCs w:val="22"/>
                <w:lang w:bidi="ar"/>
              </w:rPr>
              <w:t>企业应当对设计开发进行验证，确定源代码审核、静态分析、动态分析、单元测试、集成测试、系统测试、评审等活动要求，涵盖现成软件、网络安全的验证要求，并保持相关记录。</w:t>
            </w:r>
          </w:p>
        </w:tc>
        <w:tc>
          <w:tcPr>
            <w:tcW w:w="407" w:type="pct"/>
            <w:noWrap/>
            <w:vAlign w:val="center"/>
          </w:tcPr>
          <w:p w14:paraId="55DF92E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E5FAE8E">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《规范》第五十四条，</w:t>
            </w:r>
            <w:r>
              <w:rPr>
                <w:rFonts w:eastAsia="仿宋_GB2312"/>
                <w:color w:val="000000"/>
                <w:kern w:val="0"/>
                <w:sz w:val="22"/>
                <w:szCs w:val="22"/>
                <w:lang w:bidi="ar"/>
              </w:rPr>
              <w:br w:type="textWrapping"/>
            </w:r>
            <w:r>
              <w:rPr>
                <w:rFonts w:eastAsia="仿宋_GB2312"/>
                <w:color w:val="000000"/>
                <w:kern w:val="0"/>
                <w:sz w:val="22"/>
                <w:szCs w:val="22"/>
                <w:lang w:bidi="ar"/>
              </w:rPr>
              <w:t>《独立软件附录》2.3.12</w:t>
            </w:r>
          </w:p>
        </w:tc>
      </w:tr>
      <w:tr w14:paraId="6FF2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continue"/>
            <w:noWrap w:val="0"/>
            <w:vAlign w:val="center"/>
          </w:tcPr>
          <w:p w14:paraId="4FD574A3">
            <w:pPr>
              <w:jc w:val="center"/>
              <w:rPr>
                <w:rFonts w:eastAsia="仿宋_GB2312"/>
                <w:color w:val="000000"/>
                <w:sz w:val="22"/>
                <w:szCs w:val="22"/>
              </w:rPr>
            </w:pPr>
          </w:p>
        </w:tc>
        <w:tc>
          <w:tcPr>
            <w:tcW w:w="326" w:type="pct"/>
            <w:noWrap w:val="0"/>
            <w:vAlign w:val="center"/>
          </w:tcPr>
          <w:p w14:paraId="155CBB8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86</w:t>
            </w:r>
          </w:p>
        </w:tc>
        <w:tc>
          <w:tcPr>
            <w:tcW w:w="523" w:type="pct"/>
            <w:noWrap w:val="0"/>
            <w:vAlign w:val="center"/>
          </w:tcPr>
          <w:p w14:paraId="77E9F30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7.12.2</w:t>
            </w:r>
          </w:p>
        </w:tc>
        <w:tc>
          <w:tcPr>
            <w:tcW w:w="2496" w:type="pct"/>
            <w:noWrap w:val="0"/>
            <w:vAlign w:val="center"/>
          </w:tcPr>
          <w:p w14:paraId="12EDD076">
            <w:pPr>
              <w:widowControl/>
              <w:jc w:val="left"/>
              <w:textAlignment w:val="center"/>
              <w:rPr>
                <w:rFonts w:eastAsia="仿宋_GB2312"/>
                <w:color w:val="000000"/>
                <w:kern w:val="0"/>
                <w:sz w:val="22"/>
                <w:szCs w:val="22"/>
                <w:lang w:bidi="ar"/>
              </w:rPr>
            </w:pPr>
            <w:r>
              <w:rPr>
                <w:rFonts w:eastAsia="仿宋_GB2312"/>
                <w:color w:val="000000"/>
                <w:kern w:val="0"/>
                <w:sz w:val="22"/>
                <w:szCs w:val="22"/>
                <w:lang w:bidi="ar"/>
              </w:rPr>
              <w:t>白盒测试应当确定语句、判定、条件、路径等测试覆盖率要求，并与软件安全性级别相适宜，确保设计开发输出满足输入要求。</w:t>
            </w:r>
          </w:p>
        </w:tc>
        <w:tc>
          <w:tcPr>
            <w:tcW w:w="407" w:type="pct"/>
            <w:noWrap/>
            <w:vAlign w:val="center"/>
          </w:tcPr>
          <w:p w14:paraId="783032E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w:t>
            </w:r>
          </w:p>
        </w:tc>
        <w:tc>
          <w:tcPr>
            <w:tcW w:w="657" w:type="pct"/>
            <w:noWrap w:val="0"/>
            <w:vAlign w:val="center"/>
          </w:tcPr>
          <w:p w14:paraId="4F19FE3E">
            <w:pPr>
              <w:widowControl/>
              <w:spacing w:line="280" w:lineRule="exact"/>
              <w:jc w:val="center"/>
              <w:textAlignment w:val="center"/>
              <w:rPr>
                <w:rFonts w:eastAsia="仿宋_GB2312"/>
                <w:color w:val="000000"/>
                <w:kern w:val="0"/>
                <w:sz w:val="22"/>
                <w:szCs w:val="22"/>
                <w:lang w:bidi="ar"/>
              </w:rPr>
            </w:pPr>
            <w:r>
              <w:rPr>
                <w:rFonts w:eastAsia="仿宋_GB2312"/>
                <w:color w:val="000000"/>
                <w:kern w:val="0"/>
                <w:sz w:val="22"/>
                <w:szCs w:val="22"/>
                <w:lang w:bidi="ar"/>
              </w:rPr>
              <w:t>《独立软件附录》2.3.12</w:t>
            </w:r>
          </w:p>
        </w:tc>
      </w:tr>
      <w:tr w14:paraId="418E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3" w:hRule="atLeast"/>
          <w:jc w:val="center"/>
        </w:trPr>
        <w:tc>
          <w:tcPr>
            <w:tcW w:w="589" w:type="pct"/>
            <w:vMerge w:val="continue"/>
            <w:noWrap w:val="0"/>
            <w:vAlign w:val="center"/>
          </w:tcPr>
          <w:p w14:paraId="48E3DDAF">
            <w:pPr>
              <w:jc w:val="center"/>
              <w:rPr>
                <w:rFonts w:eastAsia="仿宋_GB2312"/>
                <w:color w:val="000000"/>
                <w:sz w:val="22"/>
                <w:szCs w:val="22"/>
              </w:rPr>
            </w:pPr>
          </w:p>
        </w:tc>
        <w:tc>
          <w:tcPr>
            <w:tcW w:w="326" w:type="pct"/>
            <w:noWrap w:val="0"/>
            <w:vAlign w:val="center"/>
          </w:tcPr>
          <w:p w14:paraId="57AB27C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87</w:t>
            </w:r>
          </w:p>
        </w:tc>
        <w:tc>
          <w:tcPr>
            <w:tcW w:w="523" w:type="pct"/>
            <w:noWrap w:val="0"/>
            <w:vAlign w:val="center"/>
          </w:tcPr>
          <w:p w14:paraId="224A44E6">
            <w:pPr>
              <w:widowControl/>
              <w:jc w:val="center"/>
              <w:textAlignment w:val="center"/>
              <w:rPr>
                <w:rFonts w:eastAsia="仿宋_GB2312"/>
                <w:color w:val="000000"/>
                <w:sz w:val="22"/>
                <w:szCs w:val="22"/>
              </w:rPr>
            </w:pPr>
            <w:r>
              <w:rPr>
                <w:rFonts w:eastAsia="仿宋_GB2312"/>
                <w:color w:val="000000"/>
                <w:kern w:val="0"/>
                <w:sz w:val="22"/>
                <w:szCs w:val="22"/>
                <w:lang w:bidi="ar"/>
              </w:rPr>
              <w:t>7.12.3</w:t>
            </w:r>
          </w:p>
        </w:tc>
        <w:tc>
          <w:tcPr>
            <w:tcW w:w="2496" w:type="pct"/>
            <w:noWrap w:val="0"/>
            <w:vAlign w:val="center"/>
          </w:tcPr>
          <w:p w14:paraId="2783DEDF">
            <w:pPr>
              <w:widowControl/>
              <w:jc w:val="left"/>
              <w:textAlignment w:val="center"/>
              <w:rPr>
                <w:rFonts w:eastAsia="仿宋_GB2312"/>
                <w:color w:val="000000"/>
                <w:sz w:val="22"/>
                <w:szCs w:val="22"/>
              </w:rPr>
            </w:pPr>
            <w:r>
              <w:rPr>
                <w:rFonts w:eastAsia="仿宋_GB2312"/>
                <w:color w:val="000000"/>
                <w:kern w:val="0"/>
                <w:sz w:val="22"/>
                <w:szCs w:val="22"/>
                <w:lang w:bidi="ar"/>
              </w:rPr>
              <w:t>企业应当保留单元测试、集成测试、系统测试相关文件，至少包括测试计划、测试报告、测试结果和结论以及测试过程记录等。测试应当依据相应测试计划实施，涵盖现成软件、网络安全的测试要求，确定缺陷管理、风险管理、可追溯性分析、评审等活动要求，形成相应软件测试记录、测试报告以及评审记录，并适时更新。可追溯性分析此时应当分析各级测试用例与软件设计、系统测试与软件需求、系统测试与风险管理的关系。</w:t>
            </w:r>
          </w:p>
        </w:tc>
        <w:tc>
          <w:tcPr>
            <w:tcW w:w="407" w:type="pct"/>
            <w:noWrap/>
            <w:vAlign w:val="center"/>
          </w:tcPr>
          <w:p w14:paraId="5880CEB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76A9F7A">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《规范》第五十四条，</w:t>
            </w:r>
            <w:r>
              <w:rPr>
                <w:rFonts w:eastAsia="仿宋_GB2312"/>
                <w:color w:val="000000"/>
                <w:kern w:val="0"/>
                <w:sz w:val="22"/>
                <w:szCs w:val="22"/>
                <w:lang w:bidi="ar"/>
              </w:rPr>
              <w:br w:type="textWrapping"/>
            </w:r>
            <w:r>
              <w:rPr>
                <w:rFonts w:eastAsia="仿宋_GB2312"/>
                <w:color w:val="000000"/>
                <w:kern w:val="0"/>
                <w:sz w:val="22"/>
                <w:szCs w:val="22"/>
                <w:lang w:bidi="ar"/>
              </w:rPr>
              <w:t>《独立软件附录》2.3.13</w:t>
            </w:r>
          </w:p>
        </w:tc>
      </w:tr>
      <w:tr w14:paraId="6FDA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589" w:type="pct"/>
            <w:vMerge w:val="continue"/>
            <w:noWrap w:val="0"/>
            <w:vAlign w:val="center"/>
          </w:tcPr>
          <w:p w14:paraId="373D0D5A">
            <w:pPr>
              <w:jc w:val="center"/>
              <w:rPr>
                <w:rFonts w:eastAsia="仿宋_GB2312"/>
                <w:color w:val="000000"/>
                <w:sz w:val="22"/>
                <w:szCs w:val="22"/>
              </w:rPr>
            </w:pPr>
          </w:p>
        </w:tc>
        <w:tc>
          <w:tcPr>
            <w:tcW w:w="326" w:type="pct"/>
            <w:noWrap w:val="0"/>
            <w:vAlign w:val="center"/>
          </w:tcPr>
          <w:p w14:paraId="2A9255E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88</w:t>
            </w:r>
          </w:p>
        </w:tc>
        <w:tc>
          <w:tcPr>
            <w:tcW w:w="523" w:type="pct"/>
            <w:noWrap/>
            <w:vAlign w:val="center"/>
          </w:tcPr>
          <w:p w14:paraId="2E826D69">
            <w:pPr>
              <w:widowControl/>
              <w:jc w:val="center"/>
              <w:textAlignment w:val="center"/>
              <w:rPr>
                <w:rFonts w:eastAsia="仿宋_GB2312"/>
                <w:color w:val="000000"/>
                <w:sz w:val="22"/>
                <w:szCs w:val="22"/>
              </w:rPr>
            </w:pPr>
            <w:r>
              <w:rPr>
                <w:rFonts w:eastAsia="仿宋_GB2312"/>
                <w:color w:val="000000"/>
                <w:kern w:val="0"/>
                <w:sz w:val="22"/>
                <w:szCs w:val="22"/>
                <w:lang w:bidi="ar"/>
              </w:rPr>
              <w:t>7.13.1</w:t>
            </w:r>
          </w:p>
        </w:tc>
        <w:tc>
          <w:tcPr>
            <w:tcW w:w="2496" w:type="pct"/>
            <w:noWrap w:val="0"/>
            <w:vAlign w:val="center"/>
          </w:tcPr>
          <w:p w14:paraId="4629DC26">
            <w:pPr>
              <w:widowControl/>
              <w:jc w:val="left"/>
              <w:textAlignment w:val="center"/>
              <w:rPr>
                <w:rFonts w:eastAsia="仿宋_GB2312"/>
                <w:color w:val="000000"/>
                <w:sz w:val="22"/>
                <w:szCs w:val="22"/>
              </w:rPr>
            </w:pPr>
            <w:r>
              <w:rPr>
                <w:rFonts w:eastAsia="仿宋_GB2312"/>
                <w:color w:val="000000"/>
                <w:kern w:val="0"/>
                <w:sz w:val="22"/>
                <w:szCs w:val="22"/>
                <w:lang w:bidi="ar"/>
              </w:rPr>
              <w:t>企业应当对设计开发进行确认，确定用户测试、临床评价、评审等活动要求，涵盖现成软件、网络安全的确认要求，并保持相关记录。</w:t>
            </w:r>
          </w:p>
        </w:tc>
        <w:tc>
          <w:tcPr>
            <w:tcW w:w="407" w:type="pct"/>
            <w:noWrap/>
            <w:vAlign w:val="center"/>
          </w:tcPr>
          <w:p w14:paraId="77575B03">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B01D26C">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《规范》第五十五条，</w:t>
            </w:r>
            <w:r>
              <w:rPr>
                <w:rFonts w:eastAsia="仿宋_GB2312"/>
                <w:color w:val="000000"/>
                <w:kern w:val="0"/>
                <w:sz w:val="22"/>
                <w:szCs w:val="22"/>
                <w:lang w:bidi="ar"/>
              </w:rPr>
              <w:br w:type="textWrapping"/>
            </w:r>
            <w:r>
              <w:rPr>
                <w:rFonts w:eastAsia="仿宋_GB2312"/>
                <w:color w:val="000000"/>
                <w:kern w:val="0"/>
                <w:sz w:val="22"/>
                <w:szCs w:val="22"/>
                <w:lang w:bidi="ar"/>
              </w:rPr>
              <w:t>《独立软件附录》2.3.14</w:t>
            </w:r>
          </w:p>
        </w:tc>
      </w:tr>
      <w:tr w14:paraId="2BC9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3B388B7F">
            <w:pPr>
              <w:jc w:val="center"/>
              <w:rPr>
                <w:rFonts w:eastAsia="仿宋_GB2312"/>
                <w:color w:val="000000"/>
                <w:sz w:val="22"/>
                <w:szCs w:val="22"/>
              </w:rPr>
            </w:pPr>
          </w:p>
        </w:tc>
        <w:tc>
          <w:tcPr>
            <w:tcW w:w="326" w:type="pct"/>
            <w:noWrap w:val="0"/>
            <w:vAlign w:val="center"/>
          </w:tcPr>
          <w:p w14:paraId="12661E0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89</w:t>
            </w:r>
          </w:p>
        </w:tc>
        <w:tc>
          <w:tcPr>
            <w:tcW w:w="523" w:type="pct"/>
            <w:noWrap/>
            <w:vAlign w:val="center"/>
          </w:tcPr>
          <w:p w14:paraId="47CF2BA0">
            <w:pPr>
              <w:widowControl/>
              <w:jc w:val="center"/>
              <w:textAlignment w:val="center"/>
              <w:rPr>
                <w:rFonts w:eastAsia="仿宋_GB2312"/>
                <w:color w:val="000000"/>
                <w:sz w:val="22"/>
                <w:szCs w:val="22"/>
              </w:rPr>
            </w:pPr>
            <w:r>
              <w:rPr>
                <w:rFonts w:eastAsia="仿宋_GB2312"/>
                <w:color w:val="000000"/>
                <w:kern w:val="0"/>
                <w:sz w:val="22"/>
                <w:szCs w:val="22"/>
                <w:lang w:bidi="ar"/>
              </w:rPr>
              <w:t>7.13.2</w:t>
            </w:r>
          </w:p>
        </w:tc>
        <w:tc>
          <w:tcPr>
            <w:tcW w:w="2496" w:type="pct"/>
            <w:noWrap w:val="0"/>
            <w:vAlign w:val="center"/>
          </w:tcPr>
          <w:p w14:paraId="57EC68BE">
            <w:pPr>
              <w:widowControl/>
              <w:jc w:val="left"/>
              <w:textAlignment w:val="center"/>
              <w:rPr>
                <w:rFonts w:eastAsia="仿宋_GB2312"/>
                <w:color w:val="000000"/>
                <w:sz w:val="22"/>
                <w:szCs w:val="22"/>
              </w:rPr>
            </w:pPr>
            <w:r>
              <w:rPr>
                <w:rFonts w:eastAsia="仿宋_GB2312"/>
                <w:color w:val="000000"/>
                <w:kern w:val="0"/>
                <w:sz w:val="22"/>
                <w:szCs w:val="22"/>
                <w:lang w:bidi="ar"/>
              </w:rPr>
              <w:t>软件确认应当保证软件满足用户需求和预期目的，且软件已知剩余缺陷的风险均可接受。</w:t>
            </w:r>
          </w:p>
        </w:tc>
        <w:tc>
          <w:tcPr>
            <w:tcW w:w="407" w:type="pct"/>
            <w:noWrap/>
            <w:vAlign w:val="center"/>
          </w:tcPr>
          <w:p w14:paraId="0D8A9D3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6DB1540">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《独立软件附录》2.3.14</w:t>
            </w:r>
          </w:p>
        </w:tc>
      </w:tr>
      <w:tr w14:paraId="1CFE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continue"/>
            <w:noWrap w:val="0"/>
            <w:vAlign w:val="center"/>
          </w:tcPr>
          <w:p w14:paraId="76428CD4">
            <w:pPr>
              <w:jc w:val="center"/>
              <w:rPr>
                <w:rFonts w:eastAsia="仿宋_GB2312"/>
                <w:color w:val="000000"/>
                <w:sz w:val="22"/>
                <w:szCs w:val="22"/>
              </w:rPr>
            </w:pPr>
          </w:p>
        </w:tc>
        <w:tc>
          <w:tcPr>
            <w:tcW w:w="326" w:type="pct"/>
            <w:noWrap w:val="0"/>
            <w:vAlign w:val="center"/>
          </w:tcPr>
          <w:p w14:paraId="1B576A8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90</w:t>
            </w:r>
          </w:p>
        </w:tc>
        <w:tc>
          <w:tcPr>
            <w:tcW w:w="523" w:type="pct"/>
            <w:noWrap/>
            <w:vAlign w:val="center"/>
          </w:tcPr>
          <w:p w14:paraId="4F7F6525">
            <w:pPr>
              <w:widowControl/>
              <w:jc w:val="center"/>
              <w:textAlignment w:val="center"/>
              <w:rPr>
                <w:rFonts w:eastAsia="仿宋_GB2312"/>
                <w:color w:val="000000"/>
                <w:sz w:val="22"/>
                <w:szCs w:val="22"/>
              </w:rPr>
            </w:pPr>
            <w:r>
              <w:rPr>
                <w:rFonts w:eastAsia="仿宋_GB2312"/>
                <w:color w:val="000000"/>
                <w:kern w:val="0"/>
                <w:sz w:val="22"/>
                <w:szCs w:val="22"/>
                <w:lang w:bidi="ar"/>
              </w:rPr>
              <w:t>7.13.3</w:t>
            </w:r>
          </w:p>
        </w:tc>
        <w:tc>
          <w:tcPr>
            <w:tcW w:w="2496" w:type="pct"/>
            <w:noWrap w:val="0"/>
            <w:vAlign w:val="center"/>
          </w:tcPr>
          <w:p w14:paraId="4CA677DE">
            <w:pPr>
              <w:widowControl/>
              <w:jc w:val="left"/>
              <w:textAlignment w:val="center"/>
              <w:rPr>
                <w:rFonts w:eastAsia="仿宋_GB2312"/>
                <w:color w:val="000000"/>
                <w:sz w:val="22"/>
                <w:szCs w:val="22"/>
              </w:rPr>
            </w:pPr>
            <w:r>
              <w:rPr>
                <w:rFonts w:eastAsia="仿宋_GB2312"/>
                <w:color w:val="000000"/>
                <w:kern w:val="0"/>
                <w:sz w:val="22"/>
                <w:szCs w:val="22"/>
                <w:lang w:bidi="ar"/>
              </w:rPr>
              <w:t>用户测试应当依据用户测试计划在真实使用环境或模拟使用环境下实施，涵盖现成软件、网络安全的测试要求，确定缺陷管理、风险管理、可追溯性分析、评审等活动要求，形成用户测试记录、测试报告以及评审记录并经批准，适时更新并经批准。可追溯性分析此时应当分析用户测试与用户需求、用户测试与风险管理的关系。</w:t>
            </w:r>
          </w:p>
        </w:tc>
        <w:tc>
          <w:tcPr>
            <w:tcW w:w="407" w:type="pct"/>
            <w:noWrap/>
            <w:vAlign w:val="center"/>
          </w:tcPr>
          <w:p w14:paraId="27483A88">
            <w:pPr>
              <w:jc w:val="center"/>
              <w:rPr>
                <w:rFonts w:eastAsia="仿宋_GB2312"/>
                <w:color w:val="000000"/>
                <w:sz w:val="22"/>
                <w:szCs w:val="22"/>
              </w:rPr>
            </w:pPr>
            <w:r>
              <w:rPr>
                <w:rFonts w:eastAsia="仿宋_GB2312"/>
                <w:color w:val="000000"/>
                <w:sz w:val="22"/>
                <w:szCs w:val="22"/>
              </w:rPr>
              <w:t>**</w:t>
            </w:r>
          </w:p>
        </w:tc>
        <w:tc>
          <w:tcPr>
            <w:tcW w:w="657" w:type="pct"/>
            <w:noWrap w:val="0"/>
            <w:vAlign w:val="center"/>
          </w:tcPr>
          <w:p w14:paraId="58A64FE6">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《独立软件附录》2.3.15</w:t>
            </w:r>
          </w:p>
        </w:tc>
      </w:tr>
      <w:tr w14:paraId="78DA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589" w:type="pct"/>
            <w:vMerge w:val="continue"/>
            <w:noWrap w:val="0"/>
            <w:vAlign w:val="center"/>
          </w:tcPr>
          <w:p w14:paraId="2C4FCB5C">
            <w:pPr>
              <w:jc w:val="center"/>
              <w:rPr>
                <w:rFonts w:eastAsia="仿宋_GB2312"/>
                <w:color w:val="000000"/>
                <w:sz w:val="22"/>
                <w:szCs w:val="22"/>
              </w:rPr>
            </w:pPr>
          </w:p>
        </w:tc>
        <w:tc>
          <w:tcPr>
            <w:tcW w:w="326" w:type="pct"/>
            <w:noWrap w:val="0"/>
            <w:vAlign w:val="center"/>
          </w:tcPr>
          <w:p w14:paraId="3230A24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91</w:t>
            </w:r>
          </w:p>
        </w:tc>
        <w:tc>
          <w:tcPr>
            <w:tcW w:w="523" w:type="pct"/>
            <w:noWrap/>
            <w:vAlign w:val="center"/>
          </w:tcPr>
          <w:p w14:paraId="788A08BF">
            <w:pPr>
              <w:widowControl/>
              <w:jc w:val="center"/>
              <w:textAlignment w:val="center"/>
              <w:rPr>
                <w:rFonts w:eastAsia="仿宋_GB2312"/>
                <w:color w:val="000000"/>
                <w:sz w:val="22"/>
                <w:szCs w:val="22"/>
              </w:rPr>
            </w:pPr>
            <w:r>
              <w:rPr>
                <w:rFonts w:eastAsia="仿宋_GB2312"/>
                <w:color w:val="000000"/>
                <w:kern w:val="0"/>
                <w:sz w:val="22"/>
                <w:szCs w:val="22"/>
                <w:lang w:bidi="ar"/>
              </w:rPr>
              <w:t>7.13.4</w:t>
            </w:r>
          </w:p>
        </w:tc>
        <w:tc>
          <w:tcPr>
            <w:tcW w:w="2496" w:type="pct"/>
            <w:noWrap w:val="0"/>
            <w:vAlign w:val="center"/>
          </w:tcPr>
          <w:p w14:paraId="6B29C4A1">
            <w:pPr>
              <w:widowControl/>
              <w:jc w:val="left"/>
              <w:textAlignment w:val="center"/>
              <w:rPr>
                <w:rFonts w:eastAsia="仿宋_GB2312"/>
                <w:color w:val="000000"/>
                <w:sz w:val="22"/>
                <w:szCs w:val="22"/>
              </w:rPr>
            </w:pPr>
            <w:r>
              <w:rPr>
                <w:rFonts w:eastAsia="仿宋_GB2312"/>
                <w:color w:val="000000"/>
                <w:kern w:val="0"/>
                <w:sz w:val="22"/>
                <w:szCs w:val="22"/>
                <w:lang w:bidi="ar"/>
              </w:rPr>
              <w:t>设计开发确认可以采用临床评价或者非临床评价方式。开展临床试验的，应当符合医疗器械临床试验相关要求。</w:t>
            </w:r>
          </w:p>
        </w:tc>
        <w:tc>
          <w:tcPr>
            <w:tcW w:w="407" w:type="pct"/>
            <w:noWrap/>
            <w:vAlign w:val="center"/>
          </w:tcPr>
          <w:p w14:paraId="419AC33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B45D9C0">
            <w:pPr>
              <w:widowControl/>
              <w:jc w:val="center"/>
              <w:textAlignment w:val="center"/>
              <w:rPr>
                <w:rFonts w:eastAsia="仿宋_GB2312"/>
                <w:color w:val="000000"/>
                <w:sz w:val="22"/>
                <w:szCs w:val="22"/>
              </w:rPr>
            </w:pPr>
            <w:r>
              <w:rPr>
                <w:rFonts w:eastAsia="仿宋_GB2312"/>
                <w:color w:val="000000"/>
                <w:kern w:val="0"/>
                <w:sz w:val="22"/>
                <w:szCs w:val="22"/>
                <w:lang w:bidi="ar"/>
              </w:rPr>
              <w:t>《规范》第五十五条</w:t>
            </w:r>
          </w:p>
        </w:tc>
      </w:tr>
      <w:tr w14:paraId="1984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continue"/>
            <w:noWrap w:val="0"/>
            <w:vAlign w:val="center"/>
          </w:tcPr>
          <w:p w14:paraId="6EE97DAD">
            <w:pPr>
              <w:jc w:val="center"/>
              <w:rPr>
                <w:rFonts w:eastAsia="仿宋_GB2312"/>
                <w:color w:val="000000"/>
                <w:sz w:val="22"/>
                <w:szCs w:val="22"/>
              </w:rPr>
            </w:pPr>
          </w:p>
        </w:tc>
        <w:tc>
          <w:tcPr>
            <w:tcW w:w="326" w:type="pct"/>
            <w:noWrap w:val="0"/>
            <w:vAlign w:val="center"/>
          </w:tcPr>
          <w:p w14:paraId="0D8CAF8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92</w:t>
            </w:r>
          </w:p>
        </w:tc>
        <w:tc>
          <w:tcPr>
            <w:tcW w:w="523" w:type="pct"/>
            <w:noWrap/>
            <w:vAlign w:val="center"/>
          </w:tcPr>
          <w:p w14:paraId="286141E4">
            <w:pPr>
              <w:widowControl/>
              <w:jc w:val="center"/>
              <w:textAlignment w:val="center"/>
              <w:rPr>
                <w:rFonts w:eastAsia="仿宋_GB2312"/>
                <w:color w:val="000000"/>
                <w:sz w:val="22"/>
                <w:szCs w:val="22"/>
              </w:rPr>
            </w:pPr>
            <w:r>
              <w:rPr>
                <w:rFonts w:eastAsia="仿宋_GB2312"/>
                <w:color w:val="000000"/>
                <w:kern w:val="0"/>
                <w:sz w:val="22"/>
                <w:szCs w:val="22"/>
                <w:lang w:bidi="ar"/>
              </w:rPr>
              <w:t>7.14.1</w:t>
            </w:r>
          </w:p>
        </w:tc>
        <w:tc>
          <w:tcPr>
            <w:tcW w:w="2496" w:type="pct"/>
            <w:noWrap w:val="0"/>
            <w:vAlign w:val="center"/>
          </w:tcPr>
          <w:p w14:paraId="6017A787">
            <w:pPr>
              <w:widowControl/>
              <w:jc w:val="left"/>
              <w:textAlignment w:val="center"/>
              <w:rPr>
                <w:rFonts w:eastAsia="仿宋_GB2312"/>
                <w:color w:val="000000"/>
                <w:sz w:val="22"/>
                <w:szCs w:val="22"/>
              </w:rPr>
            </w:pPr>
            <w:r>
              <w:rPr>
                <w:rFonts w:eastAsia="仿宋_GB2312"/>
                <w:color w:val="000000"/>
                <w:kern w:val="0"/>
                <w:sz w:val="22"/>
                <w:szCs w:val="22"/>
                <w:lang w:bidi="ar"/>
              </w:rPr>
              <w:t>企业应当对设计开发变更进行识别并评估变更影响。必要时，应当对设计开发变更进行验证、确认，并在实施前得到批准。</w:t>
            </w:r>
          </w:p>
        </w:tc>
        <w:tc>
          <w:tcPr>
            <w:tcW w:w="407" w:type="pct"/>
            <w:noWrap/>
            <w:vAlign w:val="center"/>
          </w:tcPr>
          <w:p w14:paraId="19E93D6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FDDC32E">
            <w:pPr>
              <w:widowControl/>
              <w:jc w:val="center"/>
              <w:textAlignment w:val="center"/>
              <w:rPr>
                <w:rFonts w:eastAsia="仿宋_GB2312"/>
                <w:color w:val="000000"/>
                <w:sz w:val="22"/>
                <w:szCs w:val="22"/>
              </w:rPr>
            </w:pPr>
            <w:r>
              <w:rPr>
                <w:rFonts w:eastAsia="仿宋_GB2312"/>
                <w:color w:val="000000"/>
                <w:kern w:val="0"/>
                <w:sz w:val="22"/>
                <w:szCs w:val="22"/>
                <w:lang w:bidi="ar"/>
              </w:rPr>
              <w:t>《规范》第五十六条，</w:t>
            </w:r>
            <w:r>
              <w:rPr>
                <w:rFonts w:eastAsia="仿宋_GB2312"/>
                <w:color w:val="000000"/>
                <w:kern w:val="0"/>
                <w:sz w:val="22"/>
                <w:szCs w:val="22"/>
                <w:lang w:bidi="ar"/>
              </w:rPr>
              <w:br w:type="textWrapping"/>
            </w:r>
            <w:r>
              <w:rPr>
                <w:rFonts w:eastAsia="仿宋_GB2312"/>
                <w:color w:val="000000"/>
                <w:kern w:val="0"/>
                <w:sz w:val="22"/>
                <w:szCs w:val="22"/>
                <w:lang w:bidi="ar"/>
              </w:rPr>
              <w:t>《独立软件附录》2.3.16</w:t>
            </w:r>
          </w:p>
        </w:tc>
      </w:tr>
      <w:tr w14:paraId="18F1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89" w:type="pct"/>
            <w:vMerge w:val="continue"/>
            <w:noWrap w:val="0"/>
            <w:vAlign w:val="center"/>
          </w:tcPr>
          <w:p w14:paraId="01FF9E99">
            <w:pPr>
              <w:jc w:val="center"/>
              <w:rPr>
                <w:rFonts w:eastAsia="仿宋_GB2312"/>
                <w:color w:val="000000"/>
                <w:sz w:val="22"/>
                <w:szCs w:val="22"/>
              </w:rPr>
            </w:pPr>
          </w:p>
        </w:tc>
        <w:tc>
          <w:tcPr>
            <w:tcW w:w="326" w:type="pct"/>
            <w:noWrap w:val="0"/>
            <w:vAlign w:val="center"/>
          </w:tcPr>
          <w:p w14:paraId="0762342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93</w:t>
            </w:r>
          </w:p>
        </w:tc>
        <w:tc>
          <w:tcPr>
            <w:tcW w:w="523" w:type="pct"/>
            <w:noWrap/>
            <w:vAlign w:val="center"/>
          </w:tcPr>
          <w:p w14:paraId="6E8A52AF">
            <w:pPr>
              <w:widowControl/>
              <w:jc w:val="center"/>
              <w:textAlignment w:val="center"/>
              <w:rPr>
                <w:rFonts w:eastAsia="仿宋_GB2312"/>
                <w:color w:val="000000"/>
                <w:sz w:val="22"/>
                <w:szCs w:val="22"/>
              </w:rPr>
            </w:pPr>
            <w:r>
              <w:rPr>
                <w:rFonts w:eastAsia="仿宋_GB2312"/>
                <w:color w:val="000000"/>
                <w:kern w:val="0"/>
                <w:sz w:val="22"/>
                <w:szCs w:val="22"/>
                <w:lang w:bidi="ar"/>
              </w:rPr>
              <w:t>7.14.2</w:t>
            </w:r>
          </w:p>
        </w:tc>
        <w:tc>
          <w:tcPr>
            <w:tcW w:w="2496" w:type="pct"/>
            <w:noWrap w:val="0"/>
            <w:vAlign w:val="center"/>
          </w:tcPr>
          <w:p w14:paraId="12DA2BA8">
            <w:pPr>
              <w:widowControl/>
              <w:jc w:val="left"/>
              <w:textAlignment w:val="center"/>
              <w:rPr>
                <w:rFonts w:eastAsia="仿宋_GB2312"/>
                <w:color w:val="000000"/>
                <w:sz w:val="22"/>
                <w:szCs w:val="22"/>
              </w:rPr>
            </w:pPr>
            <w:r>
              <w:rPr>
                <w:rFonts w:eastAsia="仿宋_GB2312"/>
                <w:color w:val="000000"/>
                <w:kern w:val="0"/>
                <w:sz w:val="22"/>
                <w:szCs w:val="22"/>
                <w:lang w:bidi="ar"/>
              </w:rPr>
              <w:t>软件更新应当形成文件，涵盖现成软件、网络安全的变更控制要求，确定软件更新请求评估、软件更新策划、软件更新实施、风险管理、验证与确认、缺陷管理、可追溯性分析、配置管理、文件与记录控制、评审、用户告知等活动要求，形成相关文件和记录并经批准，适时更新并经批准。</w:t>
            </w:r>
          </w:p>
        </w:tc>
        <w:tc>
          <w:tcPr>
            <w:tcW w:w="407" w:type="pct"/>
            <w:noWrap/>
            <w:vAlign w:val="center"/>
          </w:tcPr>
          <w:p w14:paraId="476F88A3">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27919CF">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《独立软件附录》2.3.16</w:t>
            </w:r>
          </w:p>
        </w:tc>
      </w:tr>
      <w:tr w14:paraId="4A14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14D15F9F">
            <w:pPr>
              <w:jc w:val="center"/>
              <w:rPr>
                <w:rFonts w:eastAsia="仿宋_GB2312"/>
                <w:color w:val="000000"/>
                <w:sz w:val="22"/>
                <w:szCs w:val="22"/>
              </w:rPr>
            </w:pPr>
          </w:p>
        </w:tc>
        <w:tc>
          <w:tcPr>
            <w:tcW w:w="326" w:type="pct"/>
            <w:noWrap w:val="0"/>
            <w:vAlign w:val="center"/>
          </w:tcPr>
          <w:p w14:paraId="7113D46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94</w:t>
            </w:r>
          </w:p>
        </w:tc>
        <w:tc>
          <w:tcPr>
            <w:tcW w:w="523" w:type="pct"/>
            <w:noWrap/>
            <w:vAlign w:val="center"/>
          </w:tcPr>
          <w:p w14:paraId="5BD9482C">
            <w:pPr>
              <w:widowControl/>
              <w:jc w:val="center"/>
              <w:textAlignment w:val="center"/>
              <w:rPr>
                <w:rFonts w:eastAsia="仿宋_GB2312"/>
                <w:color w:val="000000"/>
                <w:sz w:val="22"/>
                <w:szCs w:val="22"/>
              </w:rPr>
            </w:pPr>
            <w:r>
              <w:rPr>
                <w:rFonts w:eastAsia="仿宋_GB2312"/>
                <w:color w:val="000000"/>
                <w:kern w:val="0"/>
                <w:sz w:val="22"/>
                <w:szCs w:val="22"/>
                <w:lang w:bidi="ar"/>
              </w:rPr>
              <w:t>7.14.3</w:t>
            </w:r>
          </w:p>
        </w:tc>
        <w:tc>
          <w:tcPr>
            <w:tcW w:w="2496" w:type="pct"/>
            <w:noWrap w:val="0"/>
            <w:vAlign w:val="center"/>
          </w:tcPr>
          <w:p w14:paraId="1FC42E8E">
            <w:pPr>
              <w:widowControl/>
              <w:jc w:val="left"/>
              <w:textAlignment w:val="center"/>
              <w:rPr>
                <w:rFonts w:eastAsia="仿宋_GB2312"/>
                <w:color w:val="000000"/>
                <w:sz w:val="22"/>
                <w:szCs w:val="22"/>
              </w:rPr>
            </w:pPr>
            <w:r>
              <w:rPr>
                <w:rFonts w:eastAsia="仿宋_GB2312"/>
                <w:color w:val="000000"/>
                <w:kern w:val="0"/>
                <w:sz w:val="22"/>
                <w:szCs w:val="22"/>
                <w:lang w:bidi="ar"/>
              </w:rPr>
              <w:t>验证与确认应当根据软件更新的类型、内容和程度实施相适宜的回归测试、用户测试等活动。</w:t>
            </w:r>
          </w:p>
        </w:tc>
        <w:tc>
          <w:tcPr>
            <w:tcW w:w="407" w:type="pct"/>
            <w:noWrap/>
            <w:vAlign w:val="center"/>
          </w:tcPr>
          <w:p w14:paraId="1921FF7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B80BD58">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《独立软件附录》2.3.16</w:t>
            </w:r>
          </w:p>
        </w:tc>
      </w:tr>
      <w:tr w14:paraId="7B76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38B2A853">
            <w:pPr>
              <w:jc w:val="center"/>
              <w:rPr>
                <w:rFonts w:eastAsia="仿宋_GB2312"/>
                <w:color w:val="000000"/>
                <w:sz w:val="22"/>
                <w:szCs w:val="22"/>
              </w:rPr>
            </w:pPr>
          </w:p>
        </w:tc>
        <w:tc>
          <w:tcPr>
            <w:tcW w:w="326" w:type="pct"/>
            <w:noWrap w:val="0"/>
            <w:vAlign w:val="center"/>
          </w:tcPr>
          <w:p w14:paraId="005B6D6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95</w:t>
            </w:r>
          </w:p>
        </w:tc>
        <w:tc>
          <w:tcPr>
            <w:tcW w:w="523" w:type="pct"/>
            <w:noWrap/>
            <w:vAlign w:val="center"/>
          </w:tcPr>
          <w:p w14:paraId="7E3CBDC1">
            <w:pPr>
              <w:widowControl/>
              <w:jc w:val="center"/>
              <w:textAlignment w:val="center"/>
              <w:rPr>
                <w:rFonts w:eastAsia="仿宋_GB2312"/>
                <w:color w:val="000000"/>
                <w:sz w:val="22"/>
                <w:szCs w:val="22"/>
              </w:rPr>
            </w:pPr>
            <w:r>
              <w:rPr>
                <w:rFonts w:eastAsia="仿宋_GB2312"/>
                <w:color w:val="000000"/>
                <w:kern w:val="0"/>
                <w:sz w:val="22"/>
                <w:szCs w:val="22"/>
                <w:lang w:bidi="ar"/>
              </w:rPr>
              <w:t>7.15.1</w:t>
            </w:r>
          </w:p>
        </w:tc>
        <w:tc>
          <w:tcPr>
            <w:tcW w:w="2496" w:type="pct"/>
            <w:noWrap w:val="0"/>
            <w:vAlign w:val="center"/>
          </w:tcPr>
          <w:p w14:paraId="67FED1CD">
            <w:pPr>
              <w:widowControl/>
              <w:jc w:val="left"/>
              <w:textAlignment w:val="center"/>
              <w:rPr>
                <w:rFonts w:eastAsia="仿宋_GB2312"/>
                <w:color w:val="000000"/>
                <w:sz w:val="22"/>
                <w:szCs w:val="22"/>
              </w:rPr>
            </w:pPr>
            <w:r>
              <w:rPr>
                <w:rFonts w:eastAsia="仿宋_GB2312"/>
                <w:color w:val="000000"/>
                <w:kern w:val="0"/>
                <w:sz w:val="22"/>
                <w:szCs w:val="22"/>
                <w:lang w:bidi="ar"/>
              </w:rPr>
              <w:t>软件版本控制应当基于合规性要求确定软件版本命名规则，涵盖软件、现成软件、网络安全的全部软件更新类型，各字段含义应当明确且无歧义无矛盾。</w:t>
            </w:r>
          </w:p>
        </w:tc>
        <w:tc>
          <w:tcPr>
            <w:tcW w:w="407" w:type="pct"/>
            <w:noWrap/>
            <w:vAlign w:val="center"/>
          </w:tcPr>
          <w:p w14:paraId="6404351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768CE18">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《独立软件附录》2.3.5</w:t>
            </w:r>
          </w:p>
        </w:tc>
      </w:tr>
      <w:tr w14:paraId="48AE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1EF0CAFC">
            <w:pPr>
              <w:jc w:val="center"/>
              <w:rPr>
                <w:rFonts w:eastAsia="仿宋_GB2312"/>
                <w:color w:val="000000"/>
                <w:sz w:val="22"/>
                <w:szCs w:val="22"/>
              </w:rPr>
            </w:pPr>
          </w:p>
        </w:tc>
        <w:tc>
          <w:tcPr>
            <w:tcW w:w="326" w:type="pct"/>
            <w:noWrap w:val="0"/>
            <w:vAlign w:val="center"/>
          </w:tcPr>
          <w:p w14:paraId="75B63AC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96</w:t>
            </w:r>
          </w:p>
        </w:tc>
        <w:tc>
          <w:tcPr>
            <w:tcW w:w="523" w:type="pct"/>
            <w:noWrap/>
            <w:vAlign w:val="center"/>
          </w:tcPr>
          <w:p w14:paraId="2347FD12">
            <w:pPr>
              <w:widowControl/>
              <w:jc w:val="center"/>
              <w:textAlignment w:val="center"/>
              <w:rPr>
                <w:rFonts w:eastAsia="仿宋_GB2312"/>
                <w:color w:val="000000"/>
                <w:sz w:val="22"/>
                <w:szCs w:val="22"/>
              </w:rPr>
            </w:pPr>
            <w:r>
              <w:rPr>
                <w:rFonts w:eastAsia="仿宋_GB2312"/>
                <w:color w:val="000000"/>
                <w:kern w:val="0"/>
                <w:sz w:val="22"/>
                <w:szCs w:val="22"/>
                <w:lang w:bidi="ar"/>
              </w:rPr>
              <w:t>7.15.2</w:t>
            </w:r>
          </w:p>
        </w:tc>
        <w:tc>
          <w:tcPr>
            <w:tcW w:w="2496" w:type="pct"/>
            <w:noWrap w:val="0"/>
            <w:vAlign w:val="center"/>
          </w:tcPr>
          <w:p w14:paraId="5144A9E7">
            <w:pPr>
              <w:widowControl/>
              <w:jc w:val="left"/>
              <w:textAlignment w:val="center"/>
              <w:rPr>
                <w:rFonts w:eastAsia="仿宋_GB2312"/>
                <w:color w:val="000000"/>
                <w:sz w:val="22"/>
                <w:szCs w:val="22"/>
              </w:rPr>
            </w:pPr>
            <w:r>
              <w:rPr>
                <w:rFonts w:eastAsia="仿宋_GB2312"/>
                <w:color w:val="000000"/>
                <w:kern w:val="0"/>
                <w:sz w:val="22"/>
                <w:szCs w:val="22"/>
                <w:lang w:bidi="ar"/>
              </w:rPr>
              <w:t>软件版本变更应当符合软件版本命名规则的要求，并与软件更新情况相匹配。</w:t>
            </w:r>
          </w:p>
        </w:tc>
        <w:tc>
          <w:tcPr>
            <w:tcW w:w="407" w:type="pct"/>
            <w:noWrap/>
            <w:vAlign w:val="center"/>
          </w:tcPr>
          <w:p w14:paraId="506EF3E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07500F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《独立软件附录》2.3.5、</w:t>
            </w:r>
          </w:p>
          <w:p w14:paraId="2B2AC23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2.3.16</w:t>
            </w:r>
          </w:p>
        </w:tc>
      </w:tr>
      <w:tr w14:paraId="4A06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00A31A8E">
            <w:pPr>
              <w:jc w:val="center"/>
              <w:rPr>
                <w:rFonts w:eastAsia="仿宋_GB2312"/>
                <w:color w:val="000000"/>
                <w:kern w:val="0"/>
                <w:sz w:val="22"/>
                <w:szCs w:val="22"/>
                <w:lang w:bidi="ar"/>
              </w:rPr>
            </w:pPr>
          </w:p>
        </w:tc>
        <w:tc>
          <w:tcPr>
            <w:tcW w:w="326" w:type="pct"/>
            <w:noWrap w:val="0"/>
            <w:vAlign w:val="center"/>
          </w:tcPr>
          <w:p w14:paraId="1B03774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97</w:t>
            </w:r>
          </w:p>
        </w:tc>
        <w:tc>
          <w:tcPr>
            <w:tcW w:w="523" w:type="pct"/>
            <w:noWrap/>
            <w:vAlign w:val="center"/>
          </w:tcPr>
          <w:p w14:paraId="6310D2FA">
            <w:pPr>
              <w:widowControl/>
              <w:jc w:val="center"/>
              <w:textAlignment w:val="center"/>
              <w:rPr>
                <w:rFonts w:eastAsia="仿宋_GB2312"/>
                <w:color w:val="000000"/>
                <w:sz w:val="22"/>
                <w:szCs w:val="22"/>
              </w:rPr>
            </w:pPr>
            <w:r>
              <w:rPr>
                <w:rFonts w:eastAsia="仿宋_GB2312"/>
                <w:color w:val="000000"/>
                <w:kern w:val="0"/>
                <w:sz w:val="22"/>
                <w:szCs w:val="22"/>
                <w:lang w:bidi="ar"/>
              </w:rPr>
              <w:t>7.16.1</w:t>
            </w:r>
          </w:p>
        </w:tc>
        <w:tc>
          <w:tcPr>
            <w:tcW w:w="2496" w:type="pct"/>
            <w:noWrap w:val="0"/>
            <w:vAlign w:val="center"/>
          </w:tcPr>
          <w:p w14:paraId="06575468">
            <w:pPr>
              <w:widowControl/>
              <w:jc w:val="left"/>
              <w:textAlignment w:val="center"/>
              <w:rPr>
                <w:rFonts w:eastAsia="仿宋_GB2312"/>
                <w:color w:val="000000"/>
                <w:sz w:val="22"/>
                <w:szCs w:val="22"/>
              </w:rPr>
            </w:pPr>
            <w:r>
              <w:rPr>
                <w:rFonts w:eastAsia="仿宋_GB2312"/>
                <w:color w:val="000000"/>
                <w:kern w:val="0"/>
                <w:sz w:val="22"/>
                <w:szCs w:val="22"/>
                <w:lang w:bidi="ar"/>
              </w:rPr>
              <w:t>现成软件使用应当形成文件，确定风险管理、验证与确认、缺陷管理、可追溯性分析、软件更新、配置管理、文件与记录控制、网络安全保证等活动要求。遗留软件还应当确定现有文件、上市后使用情况、用户投诉、不良事件、召回情况等评估活动要求。使用开源软件应当遵循相应开源许可协议。</w:t>
            </w:r>
          </w:p>
        </w:tc>
        <w:tc>
          <w:tcPr>
            <w:tcW w:w="407" w:type="pct"/>
            <w:noWrap/>
            <w:vAlign w:val="center"/>
          </w:tcPr>
          <w:p w14:paraId="47493EA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43043AF">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《独立软件附录》2.3.7</w:t>
            </w:r>
          </w:p>
        </w:tc>
      </w:tr>
      <w:tr w14:paraId="45E7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7F9EA420">
            <w:pPr>
              <w:jc w:val="center"/>
              <w:rPr>
                <w:rFonts w:eastAsia="仿宋_GB2312"/>
                <w:color w:val="000000"/>
                <w:kern w:val="0"/>
                <w:sz w:val="22"/>
                <w:szCs w:val="22"/>
                <w:lang w:bidi="ar"/>
              </w:rPr>
            </w:pPr>
          </w:p>
        </w:tc>
        <w:tc>
          <w:tcPr>
            <w:tcW w:w="326" w:type="pct"/>
            <w:noWrap w:val="0"/>
            <w:vAlign w:val="center"/>
          </w:tcPr>
          <w:p w14:paraId="05A6487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98</w:t>
            </w:r>
          </w:p>
        </w:tc>
        <w:tc>
          <w:tcPr>
            <w:tcW w:w="523" w:type="pct"/>
            <w:noWrap/>
            <w:vAlign w:val="center"/>
          </w:tcPr>
          <w:p w14:paraId="6CB8BB6F">
            <w:pPr>
              <w:widowControl/>
              <w:jc w:val="center"/>
              <w:textAlignment w:val="center"/>
              <w:rPr>
                <w:rFonts w:eastAsia="仿宋_GB2312"/>
                <w:color w:val="000000"/>
                <w:sz w:val="22"/>
                <w:szCs w:val="22"/>
              </w:rPr>
            </w:pPr>
            <w:r>
              <w:rPr>
                <w:rFonts w:eastAsia="仿宋_GB2312"/>
                <w:color w:val="000000"/>
                <w:kern w:val="0"/>
                <w:sz w:val="22"/>
                <w:szCs w:val="22"/>
                <w:lang w:bidi="ar"/>
              </w:rPr>
              <w:t>7.17.1</w:t>
            </w:r>
          </w:p>
        </w:tc>
        <w:tc>
          <w:tcPr>
            <w:tcW w:w="2496" w:type="pct"/>
            <w:noWrap w:val="0"/>
            <w:vAlign w:val="center"/>
          </w:tcPr>
          <w:p w14:paraId="09407DDA">
            <w:pPr>
              <w:widowControl/>
              <w:jc w:val="left"/>
              <w:textAlignment w:val="center"/>
              <w:rPr>
                <w:rFonts w:eastAsia="仿宋_GB2312"/>
                <w:color w:val="000000"/>
                <w:sz w:val="22"/>
                <w:szCs w:val="22"/>
              </w:rPr>
            </w:pPr>
            <w:r>
              <w:rPr>
                <w:rFonts w:eastAsia="仿宋_GB2312"/>
                <w:color w:val="000000"/>
                <w:kern w:val="0"/>
                <w:sz w:val="22"/>
                <w:szCs w:val="22"/>
                <w:lang w:bidi="ar"/>
              </w:rPr>
              <w:t>软件缺陷管理应当形成文件，确定软件缺陷评估、软件缺陷修复、回归测试、风险管理、配置管理、评审等活动要求，形成软件缺陷分析报告以供评审。使用缺陷管理工具保证软件质量，并贯穿于软件生存周期全过程。</w:t>
            </w:r>
          </w:p>
        </w:tc>
        <w:tc>
          <w:tcPr>
            <w:tcW w:w="407" w:type="pct"/>
            <w:noWrap/>
            <w:vAlign w:val="center"/>
          </w:tcPr>
          <w:p w14:paraId="3BE9D62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AFBDEA6">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《独立软件附录》2.3.17</w:t>
            </w:r>
          </w:p>
        </w:tc>
      </w:tr>
      <w:tr w14:paraId="31E9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589" w:type="pct"/>
            <w:vMerge w:val="continue"/>
            <w:noWrap w:val="0"/>
            <w:vAlign w:val="center"/>
          </w:tcPr>
          <w:p w14:paraId="56117859">
            <w:pPr>
              <w:jc w:val="center"/>
              <w:rPr>
                <w:rFonts w:eastAsia="仿宋_GB2312"/>
                <w:color w:val="000000"/>
                <w:sz w:val="22"/>
                <w:szCs w:val="22"/>
              </w:rPr>
            </w:pPr>
          </w:p>
        </w:tc>
        <w:tc>
          <w:tcPr>
            <w:tcW w:w="326" w:type="pct"/>
            <w:noWrap w:val="0"/>
            <w:vAlign w:val="center"/>
          </w:tcPr>
          <w:p w14:paraId="371BFAA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99</w:t>
            </w:r>
          </w:p>
        </w:tc>
        <w:tc>
          <w:tcPr>
            <w:tcW w:w="523" w:type="pct"/>
            <w:noWrap/>
            <w:vAlign w:val="center"/>
          </w:tcPr>
          <w:p w14:paraId="5DAF9735">
            <w:pPr>
              <w:widowControl/>
              <w:jc w:val="center"/>
              <w:textAlignment w:val="center"/>
              <w:rPr>
                <w:rFonts w:eastAsia="仿宋_GB2312"/>
                <w:color w:val="000000"/>
                <w:sz w:val="22"/>
                <w:szCs w:val="22"/>
              </w:rPr>
            </w:pPr>
            <w:r>
              <w:rPr>
                <w:rFonts w:eastAsia="仿宋_GB2312"/>
                <w:color w:val="000000"/>
                <w:kern w:val="0"/>
                <w:sz w:val="22"/>
                <w:szCs w:val="22"/>
                <w:lang w:bidi="ar"/>
              </w:rPr>
              <w:t>7.18.1</w:t>
            </w:r>
          </w:p>
        </w:tc>
        <w:tc>
          <w:tcPr>
            <w:tcW w:w="2496" w:type="pct"/>
            <w:noWrap w:val="0"/>
            <w:vAlign w:val="center"/>
          </w:tcPr>
          <w:p w14:paraId="3685EEB5">
            <w:pPr>
              <w:widowControl/>
              <w:jc w:val="left"/>
              <w:textAlignment w:val="center"/>
              <w:rPr>
                <w:rFonts w:eastAsia="仿宋_GB2312"/>
                <w:color w:val="000000"/>
                <w:sz w:val="22"/>
                <w:szCs w:val="22"/>
              </w:rPr>
            </w:pPr>
            <w:r>
              <w:rPr>
                <w:rFonts w:eastAsia="仿宋_GB2312"/>
                <w:color w:val="000000"/>
                <w:kern w:val="0"/>
                <w:sz w:val="22"/>
                <w:szCs w:val="22"/>
                <w:lang w:bidi="ar"/>
              </w:rPr>
              <w:t>企业应当建立产品设计开发文档，包括设计开发过程中建立或者引用的记录，确保历次设计开发输出过程以及相关活动可追溯。</w:t>
            </w:r>
          </w:p>
        </w:tc>
        <w:tc>
          <w:tcPr>
            <w:tcW w:w="407" w:type="pct"/>
            <w:noWrap/>
            <w:vAlign w:val="center"/>
          </w:tcPr>
          <w:p w14:paraId="0E0DD8D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8FBAF1D">
            <w:pPr>
              <w:widowControl/>
              <w:jc w:val="center"/>
              <w:textAlignment w:val="center"/>
              <w:rPr>
                <w:rFonts w:eastAsia="仿宋_GB2312"/>
                <w:color w:val="000000"/>
                <w:sz w:val="22"/>
                <w:szCs w:val="22"/>
              </w:rPr>
            </w:pPr>
            <w:r>
              <w:rPr>
                <w:rFonts w:eastAsia="仿宋_GB2312"/>
                <w:color w:val="000000"/>
                <w:kern w:val="0"/>
                <w:sz w:val="22"/>
                <w:szCs w:val="22"/>
                <w:lang w:bidi="ar"/>
              </w:rPr>
              <w:t>《规范》第五十七条</w:t>
            </w:r>
          </w:p>
        </w:tc>
      </w:tr>
      <w:tr w14:paraId="7B6D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589" w:type="pct"/>
            <w:vMerge w:val="continue"/>
            <w:noWrap w:val="0"/>
            <w:vAlign w:val="center"/>
          </w:tcPr>
          <w:p w14:paraId="26C619E2">
            <w:pPr>
              <w:jc w:val="center"/>
              <w:rPr>
                <w:rFonts w:eastAsia="仿宋_GB2312"/>
                <w:color w:val="000000"/>
                <w:sz w:val="22"/>
                <w:szCs w:val="22"/>
              </w:rPr>
            </w:pPr>
          </w:p>
        </w:tc>
        <w:tc>
          <w:tcPr>
            <w:tcW w:w="326" w:type="pct"/>
            <w:noWrap w:val="0"/>
            <w:vAlign w:val="center"/>
          </w:tcPr>
          <w:p w14:paraId="2D9D0D2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100</w:t>
            </w:r>
          </w:p>
        </w:tc>
        <w:tc>
          <w:tcPr>
            <w:tcW w:w="523" w:type="pct"/>
            <w:noWrap/>
            <w:vAlign w:val="center"/>
          </w:tcPr>
          <w:p w14:paraId="123D3041">
            <w:pPr>
              <w:widowControl/>
              <w:jc w:val="center"/>
              <w:textAlignment w:val="center"/>
              <w:rPr>
                <w:rFonts w:eastAsia="仿宋_GB2312"/>
                <w:color w:val="000000"/>
                <w:sz w:val="22"/>
                <w:szCs w:val="22"/>
              </w:rPr>
            </w:pPr>
            <w:r>
              <w:rPr>
                <w:rFonts w:eastAsia="仿宋_GB2312"/>
                <w:color w:val="000000"/>
                <w:kern w:val="0"/>
                <w:sz w:val="22"/>
                <w:szCs w:val="22"/>
                <w:lang w:bidi="ar"/>
              </w:rPr>
              <w:t>7.19.1</w:t>
            </w:r>
          </w:p>
        </w:tc>
        <w:tc>
          <w:tcPr>
            <w:tcW w:w="2496" w:type="pct"/>
            <w:noWrap w:val="0"/>
            <w:vAlign w:val="center"/>
          </w:tcPr>
          <w:p w14:paraId="2804268D">
            <w:pPr>
              <w:widowControl/>
              <w:jc w:val="left"/>
              <w:textAlignment w:val="center"/>
              <w:rPr>
                <w:rFonts w:eastAsia="仿宋_GB2312"/>
                <w:color w:val="000000"/>
                <w:sz w:val="22"/>
                <w:szCs w:val="22"/>
              </w:rPr>
            </w:pPr>
            <w:r>
              <w:rPr>
                <w:rFonts w:eastAsia="仿宋_GB2312"/>
                <w:color w:val="000000"/>
                <w:kern w:val="0"/>
                <w:sz w:val="22"/>
                <w:szCs w:val="22"/>
                <w:lang w:bidi="ar"/>
              </w:rPr>
              <w:t>委托设计开发医疗器械的，委托方应当对受托方研发与持续技术支持能力进行评估。</w:t>
            </w:r>
          </w:p>
        </w:tc>
        <w:tc>
          <w:tcPr>
            <w:tcW w:w="407" w:type="pct"/>
            <w:noWrap/>
            <w:vAlign w:val="center"/>
          </w:tcPr>
          <w:p w14:paraId="723FD90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1ECF4DD">
            <w:pPr>
              <w:widowControl/>
              <w:jc w:val="center"/>
              <w:textAlignment w:val="center"/>
              <w:rPr>
                <w:rFonts w:eastAsia="仿宋_GB2312"/>
                <w:color w:val="000000"/>
                <w:sz w:val="22"/>
                <w:szCs w:val="22"/>
              </w:rPr>
            </w:pPr>
            <w:r>
              <w:rPr>
                <w:rFonts w:eastAsia="仿宋_GB2312"/>
                <w:color w:val="000000"/>
                <w:kern w:val="0"/>
                <w:sz w:val="22"/>
                <w:szCs w:val="22"/>
                <w:lang w:bidi="ar"/>
              </w:rPr>
              <w:t>《规范》第五十八条</w:t>
            </w:r>
          </w:p>
        </w:tc>
      </w:tr>
      <w:tr w14:paraId="0176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0C0E945F">
            <w:pPr>
              <w:jc w:val="center"/>
              <w:rPr>
                <w:rFonts w:eastAsia="仿宋_GB2312"/>
                <w:color w:val="000000"/>
                <w:sz w:val="22"/>
                <w:szCs w:val="22"/>
              </w:rPr>
            </w:pPr>
          </w:p>
        </w:tc>
        <w:tc>
          <w:tcPr>
            <w:tcW w:w="326" w:type="pct"/>
            <w:noWrap w:val="0"/>
            <w:vAlign w:val="center"/>
          </w:tcPr>
          <w:p w14:paraId="342533F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101</w:t>
            </w:r>
          </w:p>
        </w:tc>
        <w:tc>
          <w:tcPr>
            <w:tcW w:w="523" w:type="pct"/>
            <w:noWrap/>
            <w:vAlign w:val="center"/>
          </w:tcPr>
          <w:p w14:paraId="4F91C7DD">
            <w:pPr>
              <w:widowControl/>
              <w:jc w:val="center"/>
              <w:textAlignment w:val="center"/>
              <w:rPr>
                <w:rFonts w:eastAsia="仿宋_GB2312"/>
                <w:color w:val="000000"/>
                <w:sz w:val="22"/>
                <w:szCs w:val="22"/>
              </w:rPr>
            </w:pPr>
            <w:r>
              <w:rPr>
                <w:rFonts w:eastAsia="仿宋_GB2312"/>
                <w:color w:val="000000"/>
                <w:kern w:val="0"/>
                <w:sz w:val="22"/>
                <w:szCs w:val="22"/>
                <w:lang w:bidi="ar"/>
              </w:rPr>
              <w:t>7.19.2</w:t>
            </w:r>
          </w:p>
        </w:tc>
        <w:tc>
          <w:tcPr>
            <w:tcW w:w="2496" w:type="pct"/>
            <w:noWrap w:val="0"/>
            <w:vAlign w:val="center"/>
          </w:tcPr>
          <w:p w14:paraId="5391683D">
            <w:pPr>
              <w:widowControl/>
              <w:jc w:val="left"/>
              <w:textAlignment w:val="center"/>
              <w:rPr>
                <w:rFonts w:eastAsia="仿宋_GB2312"/>
                <w:color w:val="000000"/>
                <w:sz w:val="22"/>
                <w:szCs w:val="22"/>
              </w:rPr>
            </w:pPr>
            <w:r>
              <w:rPr>
                <w:rFonts w:eastAsia="仿宋_GB2312"/>
                <w:color w:val="000000"/>
                <w:kern w:val="0"/>
                <w:sz w:val="22"/>
                <w:szCs w:val="22"/>
                <w:lang w:bidi="ar"/>
              </w:rPr>
              <w:t>企业应当与受托方签订协议，明确委托设计开发活动范围、责任以及设计开发文档转移要求。</w:t>
            </w:r>
          </w:p>
        </w:tc>
        <w:tc>
          <w:tcPr>
            <w:tcW w:w="407" w:type="pct"/>
            <w:noWrap/>
            <w:vAlign w:val="center"/>
          </w:tcPr>
          <w:p w14:paraId="2594068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61A2E23">
            <w:pPr>
              <w:widowControl/>
              <w:jc w:val="center"/>
              <w:textAlignment w:val="center"/>
              <w:rPr>
                <w:rFonts w:eastAsia="仿宋_GB2312"/>
                <w:color w:val="000000"/>
                <w:sz w:val="22"/>
                <w:szCs w:val="22"/>
              </w:rPr>
            </w:pPr>
            <w:r>
              <w:rPr>
                <w:rFonts w:eastAsia="仿宋_GB2312"/>
                <w:color w:val="000000"/>
                <w:kern w:val="0"/>
                <w:sz w:val="22"/>
                <w:szCs w:val="22"/>
                <w:lang w:bidi="ar"/>
              </w:rPr>
              <w:t>《规范》第五十八条</w:t>
            </w:r>
          </w:p>
        </w:tc>
      </w:tr>
      <w:tr w14:paraId="4713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B674ECB">
            <w:pPr>
              <w:jc w:val="center"/>
              <w:rPr>
                <w:rFonts w:eastAsia="仿宋_GB2312"/>
                <w:color w:val="000000"/>
                <w:sz w:val="22"/>
                <w:szCs w:val="22"/>
              </w:rPr>
            </w:pPr>
          </w:p>
        </w:tc>
        <w:tc>
          <w:tcPr>
            <w:tcW w:w="326" w:type="pct"/>
            <w:noWrap w:val="0"/>
            <w:vAlign w:val="center"/>
          </w:tcPr>
          <w:p w14:paraId="17AF68A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102</w:t>
            </w:r>
          </w:p>
        </w:tc>
        <w:tc>
          <w:tcPr>
            <w:tcW w:w="523" w:type="pct"/>
            <w:noWrap/>
            <w:vAlign w:val="center"/>
          </w:tcPr>
          <w:p w14:paraId="16514663">
            <w:pPr>
              <w:widowControl/>
              <w:jc w:val="center"/>
              <w:textAlignment w:val="center"/>
              <w:rPr>
                <w:rFonts w:eastAsia="仿宋_GB2312"/>
                <w:color w:val="000000"/>
                <w:sz w:val="22"/>
                <w:szCs w:val="22"/>
              </w:rPr>
            </w:pPr>
            <w:r>
              <w:rPr>
                <w:rFonts w:eastAsia="仿宋_GB2312"/>
                <w:color w:val="000000"/>
                <w:kern w:val="0"/>
                <w:sz w:val="22"/>
                <w:szCs w:val="22"/>
                <w:lang w:bidi="ar"/>
              </w:rPr>
              <w:t>7.19.3</w:t>
            </w:r>
          </w:p>
        </w:tc>
        <w:tc>
          <w:tcPr>
            <w:tcW w:w="2496" w:type="pct"/>
            <w:noWrap w:val="0"/>
            <w:vAlign w:val="center"/>
          </w:tcPr>
          <w:p w14:paraId="21D76622">
            <w:pPr>
              <w:widowControl/>
              <w:jc w:val="left"/>
              <w:textAlignment w:val="center"/>
              <w:rPr>
                <w:rFonts w:eastAsia="仿宋_GB2312"/>
                <w:color w:val="000000"/>
                <w:sz w:val="22"/>
                <w:szCs w:val="22"/>
              </w:rPr>
            </w:pPr>
            <w:r>
              <w:rPr>
                <w:rFonts w:eastAsia="仿宋_GB2312"/>
                <w:color w:val="000000"/>
                <w:kern w:val="0"/>
                <w:sz w:val="22"/>
                <w:szCs w:val="22"/>
                <w:lang w:bidi="ar"/>
              </w:rPr>
              <w:t>企业应当对委托设计开发过程和结果进行管理并承担相应责任，确保设计开发过程满足法律法规和协议要求。</w:t>
            </w:r>
          </w:p>
        </w:tc>
        <w:tc>
          <w:tcPr>
            <w:tcW w:w="407" w:type="pct"/>
            <w:noWrap/>
            <w:vAlign w:val="center"/>
          </w:tcPr>
          <w:p w14:paraId="0E4BF457">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B724F45">
            <w:pPr>
              <w:widowControl/>
              <w:jc w:val="center"/>
              <w:textAlignment w:val="center"/>
              <w:rPr>
                <w:rFonts w:eastAsia="仿宋_GB2312"/>
                <w:color w:val="000000"/>
                <w:sz w:val="22"/>
                <w:szCs w:val="22"/>
              </w:rPr>
            </w:pPr>
            <w:r>
              <w:rPr>
                <w:rFonts w:eastAsia="仿宋_GB2312"/>
                <w:color w:val="000000"/>
                <w:kern w:val="0"/>
                <w:sz w:val="22"/>
                <w:szCs w:val="22"/>
                <w:lang w:bidi="ar"/>
              </w:rPr>
              <w:t>《规范》第五十八条</w:t>
            </w:r>
          </w:p>
        </w:tc>
      </w:tr>
      <w:tr w14:paraId="7A9B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restart"/>
            <w:noWrap w:val="0"/>
            <w:vAlign w:val="center"/>
          </w:tcPr>
          <w:p w14:paraId="6A0E6338">
            <w:pPr>
              <w:widowControl/>
              <w:jc w:val="center"/>
              <w:textAlignment w:val="center"/>
              <w:rPr>
                <w:rFonts w:eastAsia="仿宋_GB2312"/>
                <w:color w:val="000000"/>
                <w:sz w:val="22"/>
                <w:szCs w:val="22"/>
              </w:rPr>
            </w:pPr>
            <w:r>
              <w:rPr>
                <w:rFonts w:eastAsia="仿宋_GB2312"/>
                <w:color w:val="000000"/>
                <w:kern w:val="0"/>
                <w:sz w:val="22"/>
                <w:szCs w:val="22"/>
                <w:lang w:bidi="ar"/>
              </w:rPr>
              <w:t>第八章 采购与原材料管理</w:t>
            </w:r>
          </w:p>
        </w:tc>
        <w:tc>
          <w:tcPr>
            <w:tcW w:w="326" w:type="pct"/>
            <w:noWrap w:val="0"/>
            <w:vAlign w:val="center"/>
          </w:tcPr>
          <w:p w14:paraId="2C3EE05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103</w:t>
            </w:r>
          </w:p>
        </w:tc>
        <w:tc>
          <w:tcPr>
            <w:tcW w:w="523" w:type="pct"/>
            <w:noWrap w:val="0"/>
            <w:vAlign w:val="center"/>
          </w:tcPr>
          <w:p w14:paraId="1E7DE3B2">
            <w:pPr>
              <w:widowControl/>
              <w:jc w:val="center"/>
              <w:textAlignment w:val="center"/>
              <w:rPr>
                <w:rFonts w:eastAsia="仿宋_GB2312"/>
                <w:color w:val="000000"/>
                <w:sz w:val="22"/>
                <w:szCs w:val="22"/>
              </w:rPr>
            </w:pPr>
            <w:r>
              <w:rPr>
                <w:rFonts w:eastAsia="仿宋_GB2312"/>
                <w:color w:val="000000"/>
                <w:kern w:val="0"/>
                <w:sz w:val="22"/>
                <w:szCs w:val="22"/>
                <w:lang w:bidi="ar"/>
              </w:rPr>
              <w:t>8.1.1</w:t>
            </w:r>
          </w:p>
        </w:tc>
        <w:tc>
          <w:tcPr>
            <w:tcW w:w="2496" w:type="pct"/>
            <w:noWrap w:val="0"/>
            <w:vAlign w:val="center"/>
          </w:tcPr>
          <w:p w14:paraId="2579AB55">
            <w:pPr>
              <w:widowControl/>
              <w:jc w:val="left"/>
              <w:textAlignment w:val="center"/>
              <w:rPr>
                <w:rFonts w:eastAsia="仿宋_GB2312"/>
                <w:color w:val="000000"/>
                <w:sz w:val="22"/>
                <w:szCs w:val="22"/>
              </w:rPr>
            </w:pPr>
            <w:r>
              <w:rPr>
                <w:rFonts w:eastAsia="仿宋_GB2312"/>
                <w:color w:val="000000"/>
                <w:kern w:val="0"/>
                <w:sz w:val="22"/>
                <w:szCs w:val="22"/>
                <w:lang w:bidi="ar"/>
              </w:rPr>
              <w:t>企业应当建立采购控制程序，确保采购的原材料或者服务符合规定要求，且不低于法律、法规、规章和强制性标准相关要求。</w:t>
            </w:r>
          </w:p>
        </w:tc>
        <w:tc>
          <w:tcPr>
            <w:tcW w:w="407" w:type="pct"/>
            <w:noWrap w:val="0"/>
            <w:vAlign w:val="center"/>
          </w:tcPr>
          <w:p w14:paraId="4BDB9CE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287927E">
            <w:pPr>
              <w:widowControl/>
              <w:jc w:val="center"/>
              <w:textAlignment w:val="center"/>
              <w:rPr>
                <w:rFonts w:eastAsia="仿宋_GB2312"/>
                <w:color w:val="000000"/>
                <w:sz w:val="22"/>
                <w:szCs w:val="22"/>
              </w:rPr>
            </w:pPr>
            <w:r>
              <w:rPr>
                <w:rFonts w:eastAsia="仿宋_GB2312"/>
                <w:color w:val="000000"/>
                <w:kern w:val="0"/>
                <w:sz w:val="22"/>
                <w:szCs w:val="22"/>
                <w:lang w:bidi="ar"/>
              </w:rPr>
              <w:t>《规范》第五十九条</w:t>
            </w:r>
          </w:p>
        </w:tc>
      </w:tr>
      <w:tr w14:paraId="4F2B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93C6A16">
            <w:pPr>
              <w:jc w:val="center"/>
              <w:rPr>
                <w:rFonts w:eastAsia="仿宋_GB2312"/>
                <w:color w:val="000000"/>
                <w:sz w:val="22"/>
                <w:szCs w:val="22"/>
              </w:rPr>
            </w:pPr>
          </w:p>
        </w:tc>
        <w:tc>
          <w:tcPr>
            <w:tcW w:w="326" w:type="pct"/>
            <w:noWrap w:val="0"/>
            <w:vAlign w:val="center"/>
          </w:tcPr>
          <w:p w14:paraId="382FB87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104</w:t>
            </w:r>
          </w:p>
        </w:tc>
        <w:tc>
          <w:tcPr>
            <w:tcW w:w="523" w:type="pct"/>
            <w:noWrap w:val="0"/>
            <w:vAlign w:val="center"/>
          </w:tcPr>
          <w:p w14:paraId="1E11E844">
            <w:pPr>
              <w:widowControl/>
              <w:jc w:val="center"/>
              <w:textAlignment w:val="center"/>
              <w:rPr>
                <w:rFonts w:eastAsia="仿宋_GB2312"/>
                <w:color w:val="000000"/>
                <w:sz w:val="22"/>
                <w:szCs w:val="22"/>
              </w:rPr>
            </w:pPr>
            <w:r>
              <w:rPr>
                <w:rFonts w:eastAsia="仿宋_GB2312"/>
                <w:color w:val="000000"/>
                <w:kern w:val="0"/>
                <w:sz w:val="22"/>
                <w:szCs w:val="22"/>
                <w:lang w:bidi="ar"/>
              </w:rPr>
              <w:t>8.2.1</w:t>
            </w:r>
          </w:p>
        </w:tc>
        <w:tc>
          <w:tcPr>
            <w:tcW w:w="2496" w:type="pct"/>
            <w:noWrap w:val="0"/>
            <w:vAlign w:val="center"/>
          </w:tcPr>
          <w:p w14:paraId="79F5548D">
            <w:pPr>
              <w:widowControl/>
              <w:jc w:val="left"/>
              <w:textAlignment w:val="center"/>
              <w:rPr>
                <w:rFonts w:eastAsia="仿宋_GB2312"/>
                <w:color w:val="000000"/>
                <w:sz w:val="22"/>
                <w:szCs w:val="22"/>
              </w:rPr>
            </w:pPr>
            <w:r>
              <w:rPr>
                <w:rFonts w:eastAsia="仿宋_GB2312"/>
                <w:color w:val="000000"/>
                <w:kern w:val="0"/>
                <w:sz w:val="22"/>
                <w:szCs w:val="22"/>
                <w:lang w:bidi="ar"/>
              </w:rPr>
              <w:t>企业应当根据采购原材料或者服务对产品影响程度，对采购原材料或者服务以及供应商进行分类管理。</w:t>
            </w:r>
          </w:p>
        </w:tc>
        <w:tc>
          <w:tcPr>
            <w:tcW w:w="407" w:type="pct"/>
            <w:noWrap w:val="0"/>
            <w:vAlign w:val="center"/>
          </w:tcPr>
          <w:p w14:paraId="47DE5618">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C2C357D">
            <w:pPr>
              <w:widowControl/>
              <w:jc w:val="center"/>
              <w:textAlignment w:val="center"/>
              <w:rPr>
                <w:rFonts w:eastAsia="仿宋_GB2312"/>
                <w:color w:val="000000"/>
                <w:sz w:val="22"/>
                <w:szCs w:val="22"/>
              </w:rPr>
            </w:pPr>
            <w:r>
              <w:rPr>
                <w:rFonts w:eastAsia="仿宋_GB2312"/>
                <w:color w:val="000000"/>
                <w:kern w:val="0"/>
                <w:sz w:val="22"/>
                <w:szCs w:val="22"/>
                <w:lang w:bidi="ar"/>
              </w:rPr>
              <w:t>《规范》第六十条</w:t>
            </w:r>
          </w:p>
        </w:tc>
      </w:tr>
      <w:tr w14:paraId="6AE4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06AD0592">
            <w:pPr>
              <w:jc w:val="center"/>
              <w:rPr>
                <w:rFonts w:eastAsia="仿宋_GB2312"/>
                <w:color w:val="000000"/>
                <w:sz w:val="22"/>
                <w:szCs w:val="22"/>
              </w:rPr>
            </w:pPr>
          </w:p>
        </w:tc>
        <w:tc>
          <w:tcPr>
            <w:tcW w:w="326" w:type="pct"/>
            <w:noWrap w:val="0"/>
            <w:vAlign w:val="center"/>
          </w:tcPr>
          <w:p w14:paraId="319DF56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105</w:t>
            </w:r>
          </w:p>
        </w:tc>
        <w:tc>
          <w:tcPr>
            <w:tcW w:w="523" w:type="pct"/>
            <w:noWrap w:val="0"/>
            <w:vAlign w:val="center"/>
          </w:tcPr>
          <w:p w14:paraId="69DA8354">
            <w:pPr>
              <w:widowControl/>
              <w:jc w:val="center"/>
              <w:textAlignment w:val="center"/>
              <w:rPr>
                <w:rFonts w:eastAsia="仿宋_GB2312"/>
                <w:color w:val="000000"/>
                <w:sz w:val="22"/>
                <w:szCs w:val="22"/>
              </w:rPr>
            </w:pPr>
            <w:r>
              <w:rPr>
                <w:rFonts w:eastAsia="仿宋_GB2312"/>
                <w:color w:val="000000"/>
                <w:kern w:val="0"/>
                <w:sz w:val="22"/>
                <w:szCs w:val="22"/>
                <w:lang w:bidi="ar"/>
              </w:rPr>
              <w:t>8.2.2</w:t>
            </w:r>
          </w:p>
        </w:tc>
        <w:tc>
          <w:tcPr>
            <w:tcW w:w="2496" w:type="pct"/>
            <w:noWrap w:val="0"/>
            <w:vAlign w:val="center"/>
          </w:tcPr>
          <w:p w14:paraId="42D2DF84">
            <w:pPr>
              <w:widowControl/>
              <w:jc w:val="left"/>
              <w:textAlignment w:val="center"/>
              <w:rPr>
                <w:rFonts w:eastAsia="仿宋_GB2312"/>
                <w:color w:val="000000"/>
                <w:sz w:val="22"/>
                <w:szCs w:val="22"/>
              </w:rPr>
            </w:pPr>
            <w:r>
              <w:rPr>
                <w:rFonts w:eastAsia="仿宋_GB2312"/>
                <w:color w:val="000000"/>
                <w:kern w:val="0"/>
                <w:sz w:val="22"/>
                <w:szCs w:val="22"/>
                <w:lang w:bidi="ar"/>
              </w:rPr>
              <w:t>供应商管理应当考虑采购原材料或者服务、对产品质量安全影响程度、首次供应或者持续供应等因素。</w:t>
            </w:r>
          </w:p>
        </w:tc>
        <w:tc>
          <w:tcPr>
            <w:tcW w:w="407" w:type="pct"/>
            <w:noWrap w:val="0"/>
            <w:vAlign w:val="center"/>
          </w:tcPr>
          <w:p w14:paraId="6D50299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985942C">
            <w:pPr>
              <w:widowControl/>
              <w:jc w:val="center"/>
              <w:textAlignment w:val="center"/>
              <w:rPr>
                <w:rFonts w:eastAsia="仿宋_GB2312"/>
                <w:color w:val="000000"/>
                <w:sz w:val="22"/>
                <w:szCs w:val="22"/>
              </w:rPr>
            </w:pPr>
            <w:r>
              <w:rPr>
                <w:rFonts w:eastAsia="仿宋_GB2312"/>
                <w:color w:val="000000"/>
                <w:kern w:val="0"/>
                <w:sz w:val="22"/>
                <w:szCs w:val="22"/>
                <w:lang w:bidi="ar"/>
              </w:rPr>
              <w:t>《规范》第六十条</w:t>
            </w:r>
          </w:p>
        </w:tc>
      </w:tr>
      <w:tr w14:paraId="089B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ED5A4B8">
            <w:pPr>
              <w:jc w:val="center"/>
              <w:rPr>
                <w:rFonts w:eastAsia="仿宋_GB2312"/>
                <w:color w:val="000000"/>
                <w:sz w:val="22"/>
                <w:szCs w:val="22"/>
              </w:rPr>
            </w:pPr>
          </w:p>
        </w:tc>
        <w:tc>
          <w:tcPr>
            <w:tcW w:w="326" w:type="pct"/>
            <w:noWrap w:val="0"/>
            <w:vAlign w:val="center"/>
          </w:tcPr>
          <w:p w14:paraId="07C7990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106</w:t>
            </w:r>
          </w:p>
        </w:tc>
        <w:tc>
          <w:tcPr>
            <w:tcW w:w="523" w:type="pct"/>
            <w:noWrap w:val="0"/>
            <w:vAlign w:val="center"/>
          </w:tcPr>
          <w:p w14:paraId="07BD2573">
            <w:pPr>
              <w:widowControl/>
              <w:jc w:val="center"/>
              <w:textAlignment w:val="center"/>
              <w:rPr>
                <w:rFonts w:eastAsia="仿宋_GB2312"/>
                <w:color w:val="000000"/>
                <w:sz w:val="22"/>
                <w:szCs w:val="22"/>
              </w:rPr>
            </w:pPr>
            <w:r>
              <w:rPr>
                <w:rFonts w:eastAsia="仿宋_GB2312"/>
                <w:color w:val="000000"/>
                <w:kern w:val="0"/>
                <w:sz w:val="22"/>
                <w:szCs w:val="22"/>
                <w:lang w:bidi="ar"/>
              </w:rPr>
              <w:t>8.3.1</w:t>
            </w:r>
          </w:p>
        </w:tc>
        <w:tc>
          <w:tcPr>
            <w:tcW w:w="2496" w:type="pct"/>
            <w:noWrap w:val="0"/>
            <w:vAlign w:val="center"/>
          </w:tcPr>
          <w:p w14:paraId="7C2CDE33">
            <w:pPr>
              <w:widowControl/>
              <w:jc w:val="left"/>
              <w:textAlignment w:val="center"/>
              <w:rPr>
                <w:rFonts w:eastAsia="仿宋_GB2312"/>
                <w:color w:val="000000"/>
                <w:sz w:val="22"/>
                <w:szCs w:val="22"/>
              </w:rPr>
            </w:pPr>
            <w:r>
              <w:rPr>
                <w:rFonts w:eastAsia="仿宋_GB2312"/>
                <w:color w:val="000000"/>
                <w:kern w:val="0"/>
                <w:sz w:val="22"/>
                <w:szCs w:val="22"/>
                <w:lang w:bidi="ar"/>
              </w:rPr>
              <w:t>企业应当建立供应商审核制度，明确供应商选择、评价和再评价准则和方法，根据审核评价结果建立合格供应商名单。</w:t>
            </w:r>
          </w:p>
        </w:tc>
        <w:tc>
          <w:tcPr>
            <w:tcW w:w="407" w:type="pct"/>
            <w:noWrap w:val="0"/>
            <w:vAlign w:val="center"/>
          </w:tcPr>
          <w:p w14:paraId="4135F95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38CB7F0">
            <w:pPr>
              <w:widowControl/>
              <w:jc w:val="center"/>
              <w:textAlignment w:val="center"/>
              <w:rPr>
                <w:rFonts w:eastAsia="仿宋_GB2312"/>
                <w:color w:val="000000"/>
                <w:sz w:val="22"/>
                <w:szCs w:val="22"/>
              </w:rPr>
            </w:pPr>
            <w:r>
              <w:rPr>
                <w:rFonts w:eastAsia="仿宋_GB2312"/>
                <w:color w:val="000000"/>
                <w:kern w:val="0"/>
                <w:sz w:val="22"/>
                <w:szCs w:val="22"/>
                <w:lang w:bidi="ar"/>
              </w:rPr>
              <w:t>《规范》第六十一条</w:t>
            </w:r>
          </w:p>
        </w:tc>
      </w:tr>
      <w:tr w14:paraId="7732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DF8C29E">
            <w:pPr>
              <w:jc w:val="center"/>
              <w:rPr>
                <w:rFonts w:eastAsia="仿宋_GB2312"/>
                <w:color w:val="000000"/>
                <w:sz w:val="22"/>
                <w:szCs w:val="22"/>
              </w:rPr>
            </w:pPr>
          </w:p>
        </w:tc>
        <w:tc>
          <w:tcPr>
            <w:tcW w:w="326" w:type="pct"/>
            <w:noWrap w:val="0"/>
            <w:vAlign w:val="center"/>
          </w:tcPr>
          <w:p w14:paraId="42A04E9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107</w:t>
            </w:r>
          </w:p>
        </w:tc>
        <w:tc>
          <w:tcPr>
            <w:tcW w:w="523" w:type="pct"/>
            <w:noWrap w:val="0"/>
            <w:vAlign w:val="center"/>
          </w:tcPr>
          <w:p w14:paraId="59E4303E">
            <w:pPr>
              <w:widowControl/>
              <w:jc w:val="center"/>
              <w:textAlignment w:val="center"/>
              <w:rPr>
                <w:rFonts w:eastAsia="仿宋_GB2312"/>
                <w:color w:val="000000"/>
                <w:sz w:val="22"/>
                <w:szCs w:val="22"/>
              </w:rPr>
            </w:pPr>
            <w:r>
              <w:rPr>
                <w:rFonts w:eastAsia="仿宋_GB2312"/>
                <w:color w:val="000000"/>
                <w:kern w:val="0"/>
                <w:sz w:val="22"/>
                <w:szCs w:val="22"/>
                <w:lang w:bidi="ar"/>
              </w:rPr>
              <w:t>8.3.2</w:t>
            </w:r>
          </w:p>
        </w:tc>
        <w:tc>
          <w:tcPr>
            <w:tcW w:w="2496" w:type="pct"/>
            <w:noWrap w:val="0"/>
            <w:vAlign w:val="center"/>
          </w:tcPr>
          <w:p w14:paraId="03D7BEC3">
            <w:pPr>
              <w:widowControl/>
              <w:jc w:val="left"/>
              <w:textAlignment w:val="center"/>
              <w:rPr>
                <w:rFonts w:eastAsia="仿宋_GB2312"/>
                <w:color w:val="000000"/>
                <w:sz w:val="22"/>
                <w:szCs w:val="22"/>
              </w:rPr>
            </w:pPr>
            <w:r>
              <w:rPr>
                <w:rFonts w:eastAsia="仿宋_GB2312"/>
                <w:color w:val="000000"/>
                <w:kern w:val="0"/>
                <w:sz w:val="22"/>
                <w:szCs w:val="22"/>
                <w:lang w:bidi="ar"/>
              </w:rPr>
              <w:t>企业应当结合产品质量风险以及对产品质量影响程度，确定是否对供应商进行现场审核。</w:t>
            </w:r>
          </w:p>
        </w:tc>
        <w:tc>
          <w:tcPr>
            <w:tcW w:w="407" w:type="pct"/>
            <w:noWrap w:val="0"/>
            <w:vAlign w:val="center"/>
          </w:tcPr>
          <w:p w14:paraId="27A0CDFF">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A81B4D3">
            <w:pPr>
              <w:widowControl/>
              <w:jc w:val="center"/>
              <w:textAlignment w:val="center"/>
              <w:rPr>
                <w:rFonts w:eastAsia="仿宋_GB2312"/>
                <w:color w:val="000000"/>
                <w:sz w:val="22"/>
                <w:szCs w:val="22"/>
              </w:rPr>
            </w:pPr>
            <w:r>
              <w:rPr>
                <w:rFonts w:eastAsia="仿宋_GB2312"/>
                <w:color w:val="000000"/>
                <w:kern w:val="0"/>
                <w:sz w:val="22"/>
                <w:szCs w:val="22"/>
                <w:lang w:bidi="ar"/>
              </w:rPr>
              <w:t>《规范》第六十一条</w:t>
            </w:r>
          </w:p>
        </w:tc>
      </w:tr>
      <w:tr w14:paraId="7D06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F78E732">
            <w:pPr>
              <w:jc w:val="center"/>
              <w:rPr>
                <w:rFonts w:eastAsia="仿宋_GB2312"/>
                <w:color w:val="000000"/>
                <w:sz w:val="22"/>
                <w:szCs w:val="22"/>
              </w:rPr>
            </w:pPr>
          </w:p>
        </w:tc>
        <w:tc>
          <w:tcPr>
            <w:tcW w:w="326" w:type="pct"/>
            <w:noWrap w:val="0"/>
            <w:vAlign w:val="center"/>
          </w:tcPr>
          <w:p w14:paraId="43DA664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108</w:t>
            </w:r>
          </w:p>
        </w:tc>
        <w:tc>
          <w:tcPr>
            <w:tcW w:w="523" w:type="pct"/>
            <w:noWrap w:val="0"/>
            <w:vAlign w:val="center"/>
          </w:tcPr>
          <w:p w14:paraId="4FEEEF57">
            <w:pPr>
              <w:widowControl/>
              <w:jc w:val="center"/>
              <w:textAlignment w:val="center"/>
              <w:rPr>
                <w:rFonts w:eastAsia="仿宋_GB2312"/>
                <w:color w:val="000000"/>
                <w:sz w:val="22"/>
                <w:szCs w:val="22"/>
              </w:rPr>
            </w:pPr>
            <w:r>
              <w:rPr>
                <w:rFonts w:eastAsia="仿宋_GB2312"/>
                <w:color w:val="000000"/>
                <w:kern w:val="0"/>
                <w:sz w:val="22"/>
                <w:szCs w:val="22"/>
                <w:lang w:bidi="ar"/>
              </w:rPr>
              <w:t>8.4.1</w:t>
            </w:r>
          </w:p>
        </w:tc>
        <w:tc>
          <w:tcPr>
            <w:tcW w:w="2496" w:type="pct"/>
            <w:noWrap w:val="0"/>
            <w:vAlign w:val="center"/>
          </w:tcPr>
          <w:p w14:paraId="10B8D932">
            <w:pPr>
              <w:widowControl/>
              <w:jc w:val="left"/>
              <w:textAlignment w:val="center"/>
              <w:rPr>
                <w:rFonts w:eastAsia="仿宋_GB2312"/>
                <w:color w:val="000000"/>
                <w:sz w:val="22"/>
                <w:szCs w:val="22"/>
              </w:rPr>
            </w:pPr>
            <w:r>
              <w:rPr>
                <w:rFonts w:eastAsia="仿宋_GB2312"/>
                <w:color w:val="000000"/>
                <w:kern w:val="0"/>
                <w:sz w:val="22"/>
                <w:szCs w:val="22"/>
                <w:lang w:bidi="ar"/>
              </w:rPr>
              <w:t>企业应当对供应商定期进行综合评价，回顾分析其供应原材料或者服务的质量、技术水平、交付能力等。</w:t>
            </w:r>
          </w:p>
        </w:tc>
        <w:tc>
          <w:tcPr>
            <w:tcW w:w="407" w:type="pct"/>
            <w:noWrap w:val="0"/>
            <w:vAlign w:val="center"/>
          </w:tcPr>
          <w:p w14:paraId="7056940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7A6E46F">
            <w:pPr>
              <w:widowControl/>
              <w:jc w:val="center"/>
              <w:textAlignment w:val="center"/>
              <w:rPr>
                <w:rFonts w:eastAsia="仿宋_GB2312"/>
                <w:color w:val="000000"/>
                <w:sz w:val="22"/>
                <w:szCs w:val="22"/>
              </w:rPr>
            </w:pPr>
            <w:r>
              <w:rPr>
                <w:rFonts w:eastAsia="仿宋_GB2312"/>
                <w:color w:val="000000"/>
                <w:kern w:val="0"/>
                <w:sz w:val="22"/>
                <w:szCs w:val="22"/>
                <w:lang w:bidi="ar"/>
              </w:rPr>
              <w:t>《规范》第六十二条</w:t>
            </w:r>
          </w:p>
        </w:tc>
      </w:tr>
      <w:tr w14:paraId="5DE9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589" w:type="pct"/>
            <w:vMerge w:val="continue"/>
            <w:noWrap w:val="0"/>
            <w:vAlign w:val="center"/>
          </w:tcPr>
          <w:p w14:paraId="4DF43F77">
            <w:pPr>
              <w:jc w:val="center"/>
              <w:rPr>
                <w:rFonts w:eastAsia="仿宋_GB2312"/>
                <w:color w:val="000000"/>
                <w:sz w:val="22"/>
                <w:szCs w:val="22"/>
              </w:rPr>
            </w:pPr>
          </w:p>
        </w:tc>
        <w:tc>
          <w:tcPr>
            <w:tcW w:w="326" w:type="pct"/>
            <w:noWrap w:val="0"/>
            <w:vAlign w:val="center"/>
          </w:tcPr>
          <w:p w14:paraId="215A29B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109</w:t>
            </w:r>
          </w:p>
        </w:tc>
        <w:tc>
          <w:tcPr>
            <w:tcW w:w="523" w:type="pct"/>
            <w:noWrap w:val="0"/>
            <w:vAlign w:val="center"/>
          </w:tcPr>
          <w:p w14:paraId="3573A6D4">
            <w:pPr>
              <w:widowControl/>
              <w:jc w:val="center"/>
              <w:textAlignment w:val="center"/>
              <w:rPr>
                <w:rFonts w:eastAsia="仿宋_GB2312"/>
                <w:color w:val="000000"/>
                <w:sz w:val="22"/>
                <w:szCs w:val="22"/>
              </w:rPr>
            </w:pPr>
            <w:r>
              <w:rPr>
                <w:rFonts w:eastAsia="仿宋_GB2312"/>
                <w:color w:val="000000"/>
                <w:kern w:val="0"/>
                <w:sz w:val="22"/>
                <w:szCs w:val="22"/>
                <w:lang w:bidi="ar"/>
              </w:rPr>
              <w:t>8.4.2</w:t>
            </w:r>
          </w:p>
        </w:tc>
        <w:tc>
          <w:tcPr>
            <w:tcW w:w="2496" w:type="pct"/>
            <w:noWrap w:val="0"/>
            <w:vAlign w:val="center"/>
          </w:tcPr>
          <w:p w14:paraId="6AF89FD0">
            <w:pPr>
              <w:widowControl/>
              <w:jc w:val="left"/>
              <w:textAlignment w:val="center"/>
              <w:rPr>
                <w:rFonts w:eastAsia="仿宋_GB2312"/>
                <w:color w:val="000000"/>
                <w:sz w:val="22"/>
                <w:szCs w:val="22"/>
              </w:rPr>
            </w:pPr>
            <w:r>
              <w:rPr>
                <w:rFonts w:eastAsia="仿宋_GB2312"/>
                <w:color w:val="000000"/>
                <w:kern w:val="0"/>
                <w:sz w:val="22"/>
                <w:szCs w:val="22"/>
                <w:lang w:bidi="ar"/>
              </w:rPr>
              <w:t>经评估认为供应商存在重大缺陷的，企业应当中止采购，及时分析相关缺陷对产品带来的风险，必要时采取相应措施。</w:t>
            </w:r>
          </w:p>
        </w:tc>
        <w:tc>
          <w:tcPr>
            <w:tcW w:w="407" w:type="pct"/>
            <w:noWrap w:val="0"/>
            <w:vAlign w:val="center"/>
          </w:tcPr>
          <w:p w14:paraId="0C3B179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5CD5B8C">
            <w:pPr>
              <w:widowControl/>
              <w:jc w:val="center"/>
              <w:textAlignment w:val="center"/>
              <w:rPr>
                <w:rFonts w:eastAsia="仿宋_GB2312"/>
                <w:color w:val="000000"/>
                <w:sz w:val="22"/>
                <w:szCs w:val="22"/>
              </w:rPr>
            </w:pPr>
            <w:r>
              <w:rPr>
                <w:rFonts w:eastAsia="仿宋_GB2312"/>
                <w:color w:val="000000"/>
                <w:kern w:val="0"/>
                <w:sz w:val="22"/>
                <w:szCs w:val="22"/>
                <w:lang w:bidi="ar"/>
              </w:rPr>
              <w:t>《规范》第六十二条</w:t>
            </w:r>
          </w:p>
        </w:tc>
      </w:tr>
      <w:tr w14:paraId="4689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4" w:hRule="atLeast"/>
          <w:jc w:val="center"/>
        </w:trPr>
        <w:tc>
          <w:tcPr>
            <w:tcW w:w="589" w:type="pct"/>
            <w:vMerge w:val="continue"/>
            <w:noWrap w:val="0"/>
            <w:vAlign w:val="center"/>
          </w:tcPr>
          <w:p w14:paraId="4C53D6D7">
            <w:pPr>
              <w:jc w:val="center"/>
              <w:rPr>
                <w:rFonts w:eastAsia="仿宋_GB2312"/>
                <w:color w:val="000000"/>
                <w:sz w:val="22"/>
                <w:szCs w:val="22"/>
              </w:rPr>
            </w:pPr>
          </w:p>
        </w:tc>
        <w:tc>
          <w:tcPr>
            <w:tcW w:w="326" w:type="pct"/>
            <w:noWrap w:val="0"/>
            <w:vAlign w:val="center"/>
          </w:tcPr>
          <w:p w14:paraId="3CD4028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110</w:t>
            </w:r>
          </w:p>
        </w:tc>
        <w:tc>
          <w:tcPr>
            <w:tcW w:w="523" w:type="pct"/>
            <w:noWrap w:val="0"/>
            <w:vAlign w:val="center"/>
          </w:tcPr>
          <w:p w14:paraId="084B8D2F">
            <w:pPr>
              <w:widowControl/>
              <w:jc w:val="center"/>
              <w:textAlignment w:val="center"/>
              <w:rPr>
                <w:rFonts w:eastAsia="仿宋_GB2312"/>
                <w:color w:val="000000"/>
                <w:sz w:val="22"/>
                <w:szCs w:val="22"/>
              </w:rPr>
            </w:pPr>
            <w:r>
              <w:rPr>
                <w:rFonts w:eastAsia="仿宋_GB2312"/>
                <w:color w:val="000000"/>
                <w:kern w:val="0"/>
                <w:sz w:val="22"/>
                <w:szCs w:val="22"/>
                <w:lang w:bidi="ar"/>
              </w:rPr>
              <w:t>8.5.1</w:t>
            </w:r>
          </w:p>
        </w:tc>
        <w:tc>
          <w:tcPr>
            <w:tcW w:w="2496" w:type="pct"/>
            <w:noWrap w:val="0"/>
            <w:vAlign w:val="center"/>
          </w:tcPr>
          <w:p w14:paraId="1E3A65F8">
            <w:pPr>
              <w:widowControl/>
              <w:spacing w:line="280" w:lineRule="exact"/>
              <w:jc w:val="left"/>
              <w:textAlignment w:val="center"/>
              <w:rPr>
                <w:rFonts w:eastAsia="仿宋_GB2312"/>
                <w:color w:val="000000"/>
                <w:sz w:val="22"/>
                <w:szCs w:val="22"/>
              </w:rPr>
            </w:pPr>
            <w:r>
              <w:rPr>
                <w:rFonts w:eastAsia="仿宋_GB2312"/>
                <w:color w:val="000000"/>
                <w:kern w:val="0"/>
                <w:sz w:val="22"/>
                <w:szCs w:val="22"/>
                <w:lang w:bidi="ar"/>
              </w:rPr>
              <w:t>企业应当与关键供应商签订质量协议，明确采购原材料或者服务的技术要求、验收标准和双方质量责任。</w:t>
            </w:r>
            <w:r>
              <w:rPr>
                <w:rStyle w:val="4"/>
                <w:rFonts w:hint="default" w:ascii="Times New Roman" w:hAnsi="Times New Roman" w:cs="Times New Roman"/>
                <w:sz w:val="22"/>
                <w:szCs w:val="22"/>
                <w:lang w:bidi="ar"/>
              </w:rPr>
              <w:br w:type="textWrapping"/>
            </w:r>
            <w:r>
              <w:rPr>
                <w:rFonts w:eastAsia="仿宋_GB2312"/>
                <w:kern w:val="0"/>
                <w:sz w:val="22"/>
                <w:szCs w:val="22"/>
              </w:rPr>
              <w:t>（一）针对外包软件，应当与供应商签订外包软件质量协议，明确外包软件需求分析、交付形式、验收方式与准则、设计开发文件交付、知识产权归属、维护等要求以及双方质量责任承担要求</w:t>
            </w:r>
            <w:r>
              <w:rPr>
                <w:rFonts w:hint="eastAsia" w:eastAsia="仿宋_GB2312"/>
                <w:kern w:val="0"/>
                <w:sz w:val="22"/>
                <w:szCs w:val="22"/>
                <w:lang w:eastAsia="zh-CN"/>
              </w:rPr>
              <w:t>；</w:t>
            </w:r>
            <w:r>
              <w:rPr>
                <w:rFonts w:eastAsia="仿宋_GB2312"/>
                <w:kern w:val="0"/>
                <w:sz w:val="22"/>
                <w:szCs w:val="22"/>
              </w:rPr>
              <w:br w:type="textWrapping"/>
            </w:r>
            <w:r>
              <w:rPr>
                <w:rFonts w:eastAsia="仿宋_GB2312"/>
                <w:kern w:val="0"/>
                <w:sz w:val="22"/>
                <w:szCs w:val="22"/>
              </w:rPr>
              <w:t>（二）云计算服务协议应当明确网络安全保证、患者数据与隐私保护等责任承担要求。</w:t>
            </w:r>
          </w:p>
        </w:tc>
        <w:tc>
          <w:tcPr>
            <w:tcW w:w="407" w:type="pct"/>
            <w:noWrap w:val="0"/>
            <w:vAlign w:val="center"/>
          </w:tcPr>
          <w:p w14:paraId="1E180CE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AE12275">
            <w:pPr>
              <w:widowControl/>
              <w:jc w:val="center"/>
              <w:textAlignment w:val="center"/>
              <w:rPr>
                <w:rFonts w:eastAsia="仿宋_GB2312"/>
                <w:color w:val="000000"/>
                <w:sz w:val="22"/>
                <w:szCs w:val="22"/>
              </w:rPr>
            </w:pPr>
            <w:r>
              <w:rPr>
                <w:rFonts w:eastAsia="仿宋_GB2312"/>
                <w:color w:val="000000"/>
                <w:kern w:val="0"/>
                <w:sz w:val="22"/>
                <w:szCs w:val="22"/>
                <w:lang w:bidi="ar"/>
              </w:rPr>
              <w:t>《规范》第六十三条，</w:t>
            </w:r>
            <w:r>
              <w:rPr>
                <w:rFonts w:eastAsia="仿宋_GB2312"/>
                <w:color w:val="000000"/>
                <w:kern w:val="0"/>
                <w:sz w:val="22"/>
                <w:szCs w:val="22"/>
                <w:lang w:bidi="ar"/>
              </w:rPr>
              <w:br w:type="textWrapping"/>
            </w:r>
            <w:r>
              <w:rPr>
                <w:rFonts w:eastAsia="仿宋_GB2312"/>
                <w:color w:val="000000"/>
                <w:kern w:val="0"/>
                <w:sz w:val="22"/>
                <w:szCs w:val="22"/>
                <w:lang w:bidi="ar"/>
              </w:rPr>
              <w:t>《独立软件附录》</w:t>
            </w:r>
            <w:r>
              <w:rPr>
                <w:rFonts w:eastAsia="仿宋_GB2312"/>
                <w:kern w:val="0"/>
                <w:sz w:val="22"/>
                <w:szCs w:val="22"/>
              </w:rPr>
              <w:t>2.4.2</w:t>
            </w:r>
            <w:r>
              <w:rPr>
                <w:rFonts w:eastAsia="仿宋_GB2312"/>
                <w:kern w:val="0"/>
                <w:sz w:val="22"/>
                <w:szCs w:val="22"/>
              </w:rPr>
              <w:br w:type="textWrapping"/>
            </w:r>
            <w:r>
              <w:rPr>
                <w:rFonts w:eastAsia="仿宋_GB2312"/>
                <w:kern w:val="0"/>
                <w:sz w:val="22"/>
                <w:szCs w:val="22"/>
              </w:rPr>
              <w:t>2.4.3</w:t>
            </w:r>
          </w:p>
        </w:tc>
      </w:tr>
      <w:tr w14:paraId="42D5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589" w:type="pct"/>
            <w:vMerge w:val="continue"/>
            <w:noWrap w:val="0"/>
            <w:vAlign w:val="center"/>
          </w:tcPr>
          <w:p w14:paraId="0344C018">
            <w:pPr>
              <w:jc w:val="center"/>
              <w:rPr>
                <w:rFonts w:eastAsia="仿宋_GB2312"/>
                <w:color w:val="000000"/>
                <w:sz w:val="22"/>
                <w:szCs w:val="22"/>
              </w:rPr>
            </w:pPr>
          </w:p>
        </w:tc>
        <w:tc>
          <w:tcPr>
            <w:tcW w:w="326" w:type="pct"/>
            <w:noWrap w:val="0"/>
            <w:vAlign w:val="center"/>
          </w:tcPr>
          <w:p w14:paraId="7637533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111</w:t>
            </w:r>
          </w:p>
        </w:tc>
        <w:tc>
          <w:tcPr>
            <w:tcW w:w="523" w:type="pct"/>
            <w:noWrap w:val="0"/>
            <w:vAlign w:val="center"/>
          </w:tcPr>
          <w:p w14:paraId="21B43F93">
            <w:pPr>
              <w:widowControl/>
              <w:jc w:val="center"/>
              <w:textAlignment w:val="center"/>
              <w:rPr>
                <w:rFonts w:eastAsia="仿宋_GB2312"/>
                <w:color w:val="000000"/>
                <w:sz w:val="22"/>
                <w:szCs w:val="22"/>
              </w:rPr>
            </w:pPr>
            <w:r>
              <w:rPr>
                <w:rFonts w:eastAsia="仿宋_GB2312"/>
                <w:color w:val="000000"/>
                <w:kern w:val="0"/>
                <w:sz w:val="22"/>
                <w:szCs w:val="22"/>
                <w:lang w:bidi="ar"/>
              </w:rPr>
              <w:t>8.5.2</w:t>
            </w:r>
          </w:p>
        </w:tc>
        <w:tc>
          <w:tcPr>
            <w:tcW w:w="2496" w:type="pct"/>
            <w:noWrap w:val="0"/>
            <w:vAlign w:val="center"/>
          </w:tcPr>
          <w:p w14:paraId="597127A7">
            <w:pPr>
              <w:widowControl/>
              <w:spacing w:line="280" w:lineRule="exact"/>
              <w:jc w:val="left"/>
              <w:textAlignment w:val="center"/>
              <w:rPr>
                <w:rFonts w:eastAsia="仿宋_GB2312"/>
                <w:color w:val="000000"/>
                <w:sz w:val="22"/>
                <w:szCs w:val="22"/>
              </w:rPr>
            </w:pPr>
            <w:r>
              <w:rPr>
                <w:rFonts w:eastAsia="仿宋_GB2312"/>
                <w:color w:val="000000"/>
                <w:kern w:val="0"/>
                <w:sz w:val="22"/>
                <w:szCs w:val="22"/>
                <w:lang w:bidi="ar"/>
              </w:rPr>
              <w:t>企业应当建立关键供应商质量档案。</w:t>
            </w:r>
            <w:r>
              <w:rPr>
                <w:rFonts w:eastAsia="仿宋_GB2312"/>
                <w:color w:val="000000"/>
                <w:kern w:val="0"/>
                <w:sz w:val="22"/>
                <w:szCs w:val="22"/>
                <w:lang w:bidi="ar"/>
              </w:rPr>
              <w:br w:type="textWrapping"/>
            </w:r>
            <w:r>
              <w:rPr>
                <w:rFonts w:eastAsia="仿宋_GB2312"/>
                <w:color w:val="000000"/>
                <w:kern w:val="0"/>
                <w:sz w:val="22"/>
                <w:szCs w:val="22"/>
                <w:lang w:bidi="ar"/>
              </w:rPr>
              <w:t>档案至少包括：供应商资质证明文件、审核报告、采购合同或者质量协议、采购物品清单、产品技术要求或者质量标准、验收准则，供应商能力或者绩效监测、定期审核、评价和再评价结果以及由其引发的相关措施记录等。</w:t>
            </w:r>
          </w:p>
        </w:tc>
        <w:tc>
          <w:tcPr>
            <w:tcW w:w="407" w:type="pct"/>
            <w:noWrap w:val="0"/>
            <w:vAlign w:val="center"/>
          </w:tcPr>
          <w:p w14:paraId="36E8B30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D3B3634">
            <w:pPr>
              <w:widowControl/>
              <w:jc w:val="center"/>
              <w:textAlignment w:val="center"/>
              <w:rPr>
                <w:rFonts w:eastAsia="仿宋_GB2312"/>
                <w:color w:val="000000"/>
                <w:sz w:val="22"/>
                <w:szCs w:val="22"/>
              </w:rPr>
            </w:pPr>
            <w:r>
              <w:rPr>
                <w:rFonts w:eastAsia="仿宋_GB2312"/>
                <w:color w:val="000000"/>
                <w:kern w:val="0"/>
                <w:sz w:val="22"/>
                <w:szCs w:val="22"/>
                <w:lang w:bidi="ar"/>
              </w:rPr>
              <w:t>《规范》第六十三条</w:t>
            </w:r>
          </w:p>
        </w:tc>
      </w:tr>
      <w:tr w14:paraId="6677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4CC70AA">
            <w:pPr>
              <w:jc w:val="center"/>
              <w:rPr>
                <w:rFonts w:eastAsia="仿宋_GB2312"/>
                <w:color w:val="000000"/>
                <w:sz w:val="22"/>
                <w:szCs w:val="22"/>
              </w:rPr>
            </w:pPr>
          </w:p>
        </w:tc>
        <w:tc>
          <w:tcPr>
            <w:tcW w:w="326" w:type="pct"/>
            <w:noWrap w:val="0"/>
            <w:vAlign w:val="center"/>
          </w:tcPr>
          <w:p w14:paraId="0CBA64B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112</w:t>
            </w:r>
          </w:p>
        </w:tc>
        <w:tc>
          <w:tcPr>
            <w:tcW w:w="523" w:type="pct"/>
            <w:noWrap w:val="0"/>
            <w:vAlign w:val="center"/>
          </w:tcPr>
          <w:p w14:paraId="6DF5E5B6">
            <w:pPr>
              <w:widowControl/>
              <w:jc w:val="center"/>
              <w:textAlignment w:val="center"/>
              <w:rPr>
                <w:rFonts w:eastAsia="仿宋_GB2312"/>
                <w:color w:val="000000"/>
                <w:sz w:val="22"/>
                <w:szCs w:val="22"/>
              </w:rPr>
            </w:pPr>
            <w:r>
              <w:rPr>
                <w:rFonts w:eastAsia="仿宋_GB2312"/>
                <w:color w:val="000000"/>
                <w:kern w:val="0"/>
                <w:sz w:val="22"/>
                <w:szCs w:val="22"/>
                <w:lang w:bidi="ar"/>
              </w:rPr>
              <w:t>8.6.1</w:t>
            </w:r>
          </w:p>
        </w:tc>
        <w:tc>
          <w:tcPr>
            <w:tcW w:w="2496" w:type="pct"/>
            <w:noWrap w:val="0"/>
            <w:vAlign w:val="center"/>
          </w:tcPr>
          <w:p w14:paraId="596A7571">
            <w:pPr>
              <w:widowControl/>
              <w:jc w:val="left"/>
              <w:textAlignment w:val="center"/>
              <w:rPr>
                <w:rFonts w:eastAsia="仿宋_GB2312"/>
                <w:color w:val="000000"/>
                <w:sz w:val="22"/>
                <w:szCs w:val="22"/>
              </w:rPr>
            </w:pPr>
            <w:r>
              <w:rPr>
                <w:rFonts w:eastAsia="仿宋_GB2312"/>
                <w:color w:val="000000"/>
                <w:kern w:val="0"/>
                <w:sz w:val="22"/>
                <w:szCs w:val="22"/>
                <w:lang w:bidi="ar"/>
              </w:rPr>
              <w:t>企业应当明确采购信息和采购要求，包括采购原材料或者服务的类别、验收准则、规格型号、规程等内容。</w:t>
            </w:r>
          </w:p>
        </w:tc>
        <w:tc>
          <w:tcPr>
            <w:tcW w:w="407" w:type="pct"/>
            <w:noWrap w:val="0"/>
            <w:vAlign w:val="center"/>
          </w:tcPr>
          <w:p w14:paraId="00ACFE2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2E5DC19">
            <w:pPr>
              <w:widowControl/>
              <w:jc w:val="center"/>
              <w:textAlignment w:val="center"/>
              <w:rPr>
                <w:rFonts w:eastAsia="仿宋_GB2312"/>
                <w:color w:val="000000"/>
                <w:sz w:val="22"/>
                <w:szCs w:val="22"/>
              </w:rPr>
            </w:pPr>
            <w:r>
              <w:rPr>
                <w:rFonts w:eastAsia="仿宋_GB2312"/>
                <w:color w:val="000000"/>
                <w:kern w:val="0"/>
                <w:sz w:val="22"/>
                <w:szCs w:val="22"/>
                <w:lang w:bidi="ar"/>
              </w:rPr>
              <w:t>《规范》第六十四条</w:t>
            </w:r>
          </w:p>
        </w:tc>
      </w:tr>
      <w:tr w14:paraId="287C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F3A7370">
            <w:pPr>
              <w:jc w:val="center"/>
              <w:rPr>
                <w:rFonts w:eastAsia="仿宋_GB2312"/>
                <w:color w:val="000000"/>
                <w:sz w:val="22"/>
                <w:szCs w:val="22"/>
              </w:rPr>
            </w:pPr>
          </w:p>
        </w:tc>
        <w:tc>
          <w:tcPr>
            <w:tcW w:w="326" w:type="pct"/>
            <w:noWrap w:val="0"/>
            <w:vAlign w:val="center"/>
          </w:tcPr>
          <w:p w14:paraId="5BE81F0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113</w:t>
            </w:r>
          </w:p>
        </w:tc>
        <w:tc>
          <w:tcPr>
            <w:tcW w:w="523" w:type="pct"/>
            <w:noWrap w:val="0"/>
            <w:vAlign w:val="center"/>
          </w:tcPr>
          <w:p w14:paraId="21276717">
            <w:pPr>
              <w:widowControl/>
              <w:jc w:val="center"/>
              <w:textAlignment w:val="center"/>
              <w:rPr>
                <w:rFonts w:eastAsia="仿宋_GB2312"/>
                <w:color w:val="000000"/>
                <w:sz w:val="22"/>
                <w:szCs w:val="22"/>
              </w:rPr>
            </w:pPr>
            <w:r>
              <w:rPr>
                <w:rFonts w:eastAsia="仿宋_GB2312"/>
                <w:color w:val="000000"/>
                <w:kern w:val="0"/>
                <w:sz w:val="22"/>
                <w:szCs w:val="22"/>
                <w:lang w:bidi="ar"/>
              </w:rPr>
              <w:t>8.6.2</w:t>
            </w:r>
          </w:p>
        </w:tc>
        <w:tc>
          <w:tcPr>
            <w:tcW w:w="2496" w:type="pct"/>
            <w:noWrap w:val="0"/>
            <w:vAlign w:val="center"/>
          </w:tcPr>
          <w:p w14:paraId="0F3175B6">
            <w:pPr>
              <w:widowControl/>
              <w:jc w:val="left"/>
              <w:textAlignment w:val="center"/>
              <w:rPr>
                <w:rFonts w:eastAsia="仿宋_GB2312"/>
                <w:color w:val="000000"/>
                <w:sz w:val="22"/>
                <w:szCs w:val="22"/>
              </w:rPr>
            </w:pPr>
            <w:r>
              <w:rPr>
                <w:rFonts w:eastAsia="仿宋_GB2312"/>
                <w:color w:val="000000"/>
                <w:kern w:val="0"/>
                <w:sz w:val="22"/>
                <w:szCs w:val="22"/>
                <w:lang w:bidi="ar"/>
              </w:rPr>
              <w:t>企业应当保留采购记录，包括采购合同、采购清单、检验报告等，采购记录应当真实、准确、完整和可追溯。</w:t>
            </w:r>
          </w:p>
        </w:tc>
        <w:tc>
          <w:tcPr>
            <w:tcW w:w="407" w:type="pct"/>
            <w:noWrap w:val="0"/>
            <w:vAlign w:val="center"/>
          </w:tcPr>
          <w:p w14:paraId="27297DB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07D875F">
            <w:pPr>
              <w:widowControl/>
              <w:jc w:val="center"/>
              <w:textAlignment w:val="center"/>
              <w:rPr>
                <w:rFonts w:eastAsia="仿宋_GB2312"/>
                <w:color w:val="000000"/>
                <w:sz w:val="22"/>
                <w:szCs w:val="22"/>
              </w:rPr>
            </w:pPr>
            <w:r>
              <w:rPr>
                <w:rFonts w:eastAsia="仿宋_GB2312"/>
                <w:color w:val="000000"/>
                <w:kern w:val="0"/>
                <w:sz w:val="22"/>
                <w:szCs w:val="22"/>
                <w:lang w:bidi="ar"/>
              </w:rPr>
              <w:t>《规范》第六十四条</w:t>
            </w:r>
          </w:p>
        </w:tc>
      </w:tr>
      <w:tr w14:paraId="76C1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3225717">
            <w:pPr>
              <w:jc w:val="center"/>
              <w:rPr>
                <w:rFonts w:eastAsia="仿宋_GB2312"/>
                <w:color w:val="000000"/>
                <w:sz w:val="22"/>
                <w:szCs w:val="22"/>
              </w:rPr>
            </w:pPr>
          </w:p>
        </w:tc>
        <w:tc>
          <w:tcPr>
            <w:tcW w:w="326" w:type="pct"/>
            <w:noWrap w:val="0"/>
            <w:vAlign w:val="center"/>
          </w:tcPr>
          <w:p w14:paraId="7A6E59A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114</w:t>
            </w:r>
          </w:p>
        </w:tc>
        <w:tc>
          <w:tcPr>
            <w:tcW w:w="523" w:type="pct"/>
            <w:noWrap w:val="0"/>
            <w:vAlign w:val="center"/>
          </w:tcPr>
          <w:p w14:paraId="6D4B4210">
            <w:pPr>
              <w:widowControl/>
              <w:jc w:val="center"/>
              <w:textAlignment w:val="center"/>
              <w:rPr>
                <w:rFonts w:eastAsia="仿宋_GB2312"/>
                <w:color w:val="000000"/>
                <w:sz w:val="22"/>
                <w:szCs w:val="22"/>
              </w:rPr>
            </w:pPr>
            <w:r>
              <w:rPr>
                <w:rFonts w:eastAsia="仿宋_GB2312"/>
                <w:color w:val="000000"/>
                <w:kern w:val="0"/>
                <w:sz w:val="22"/>
                <w:szCs w:val="22"/>
                <w:lang w:bidi="ar"/>
              </w:rPr>
              <w:t>8.7.1</w:t>
            </w:r>
          </w:p>
        </w:tc>
        <w:tc>
          <w:tcPr>
            <w:tcW w:w="2496" w:type="pct"/>
            <w:noWrap w:val="0"/>
            <w:vAlign w:val="center"/>
          </w:tcPr>
          <w:p w14:paraId="00006347">
            <w:pPr>
              <w:widowControl/>
              <w:jc w:val="left"/>
              <w:textAlignment w:val="center"/>
              <w:rPr>
                <w:rFonts w:eastAsia="仿宋_GB2312"/>
                <w:color w:val="000000"/>
                <w:sz w:val="22"/>
                <w:szCs w:val="22"/>
              </w:rPr>
            </w:pPr>
            <w:r>
              <w:rPr>
                <w:rFonts w:eastAsia="仿宋_GB2312"/>
                <w:color w:val="000000"/>
                <w:kern w:val="0"/>
                <w:sz w:val="22"/>
                <w:szCs w:val="22"/>
                <w:lang w:bidi="ar"/>
              </w:rPr>
              <w:t>企业应当建立原材料进货验收制度，对采购的原材料进行检查、检验或者验证，确保满足要求后方可入库。</w:t>
            </w:r>
          </w:p>
        </w:tc>
        <w:tc>
          <w:tcPr>
            <w:tcW w:w="407" w:type="pct"/>
            <w:noWrap w:val="0"/>
            <w:vAlign w:val="center"/>
          </w:tcPr>
          <w:p w14:paraId="0E273298">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F100A3B">
            <w:pPr>
              <w:widowControl/>
              <w:jc w:val="center"/>
              <w:textAlignment w:val="center"/>
              <w:rPr>
                <w:rFonts w:eastAsia="仿宋_GB2312"/>
                <w:color w:val="000000"/>
                <w:sz w:val="22"/>
                <w:szCs w:val="22"/>
              </w:rPr>
            </w:pPr>
            <w:r>
              <w:rPr>
                <w:rFonts w:eastAsia="仿宋_GB2312"/>
                <w:color w:val="000000"/>
                <w:kern w:val="0"/>
                <w:sz w:val="22"/>
                <w:szCs w:val="22"/>
                <w:lang w:bidi="ar"/>
              </w:rPr>
              <w:t>《规范》第六十五条</w:t>
            </w:r>
          </w:p>
        </w:tc>
      </w:tr>
      <w:tr w14:paraId="11A7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16EFBE70">
            <w:pPr>
              <w:jc w:val="center"/>
              <w:rPr>
                <w:rFonts w:eastAsia="仿宋_GB2312"/>
                <w:color w:val="000000"/>
                <w:sz w:val="22"/>
                <w:szCs w:val="22"/>
              </w:rPr>
            </w:pPr>
          </w:p>
        </w:tc>
        <w:tc>
          <w:tcPr>
            <w:tcW w:w="326" w:type="pct"/>
            <w:noWrap w:val="0"/>
            <w:vAlign w:val="center"/>
          </w:tcPr>
          <w:p w14:paraId="40686FD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115</w:t>
            </w:r>
          </w:p>
        </w:tc>
        <w:tc>
          <w:tcPr>
            <w:tcW w:w="523" w:type="pct"/>
            <w:noWrap w:val="0"/>
            <w:vAlign w:val="center"/>
          </w:tcPr>
          <w:p w14:paraId="64C77E53">
            <w:pPr>
              <w:widowControl/>
              <w:jc w:val="center"/>
              <w:textAlignment w:val="center"/>
              <w:rPr>
                <w:rFonts w:eastAsia="仿宋_GB2312"/>
                <w:color w:val="000000"/>
                <w:sz w:val="22"/>
                <w:szCs w:val="22"/>
              </w:rPr>
            </w:pPr>
            <w:r>
              <w:rPr>
                <w:rFonts w:eastAsia="仿宋_GB2312"/>
                <w:color w:val="000000"/>
                <w:kern w:val="0"/>
                <w:sz w:val="22"/>
                <w:szCs w:val="22"/>
                <w:lang w:bidi="ar"/>
              </w:rPr>
              <w:t>8.8.1</w:t>
            </w:r>
          </w:p>
        </w:tc>
        <w:tc>
          <w:tcPr>
            <w:tcW w:w="2496" w:type="pct"/>
            <w:noWrap w:val="0"/>
            <w:vAlign w:val="center"/>
          </w:tcPr>
          <w:p w14:paraId="2D3A1D0C">
            <w:pPr>
              <w:widowControl/>
              <w:jc w:val="left"/>
              <w:textAlignment w:val="center"/>
              <w:rPr>
                <w:rFonts w:eastAsia="仿宋_GB2312"/>
                <w:color w:val="000000"/>
                <w:sz w:val="22"/>
                <w:szCs w:val="22"/>
              </w:rPr>
            </w:pPr>
            <w:r>
              <w:rPr>
                <w:rFonts w:eastAsia="仿宋_GB2312"/>
                <w:color w:val="000000"/>
                <w:kern w:val="0"/>
                <w:sz w:val="22"/>
                <w:szCs w:val="22"/>
                <w:lang w:bidi="ar"/>
              </w:rPr>
              <w:t>企业应当建立仓储管理制度，确保原材料、中间产品以及成品等能够正确贮存、发放、使用和运输，防止混淆和差错。相关活动应当保留记录。</w:t>
            </w:r>
          </w:p>
        </w:tc>
        <w:tc>
          <w:tcPr>
            <w:tcW w:w="407" w:type="pct"/>
            <w:noWrap w:val="0"/>
            <w:vAlign w:val="center"/>
          </w:tcPr>
          <w:p w14:paraId="4B42F53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7C40802">
            <w:pPr>
              <w:widowControl/>
              <w:jc w:val="center"/>
              <w:textAlignment w:val="center"/>
              <w:rPr>
                <w:rFonts w:eastAsia="仿宋_GB2312"/>
                <w:color w:val="000000"/>
                <w:sz w:val="22"/>
                <w:szCs w:val="22"/>
              </w:rPr>
            </w:pPr>
            <w:r>
              <w:rPr>
                <w:rFonts w:eastAsia="仿宋_GB2312"/>
                <w:color w:val="000000"/>
                <w:kern w:val="0"/>
                <w:sz w:val="22"/>
                <w:szCs w:val="22"/>
                <w:lang w:bidi="ar"/>
              </w:rPr>
              <w:t>《规范》第六十六条</w:t>
            </w:r>
          </w:p>
        </w:tc>
      </w:tr>
      <w:tr w14:paraId="1DF2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EDB1CE7">
            <w:pPr>
              <w:jc w:val="center"/>
              <w:rPr>
                <w:rFonts w:eastAsia="仿宋_GB2312"/>
                <w:color w:val="000000"/>
                <w:sz w:val="22"/>
                <w:szCs w:val="22"/>
              </w:rPr>
            </w:pPr>
          </w:p>
        </w:tc>
        <w:tc>
          <w:tcPr>
            <w:tcW w:w="326" w:type="pct"/>
            <w:noWrap w:val="0"/>
            <w:vAlign w:val="center"/>
          </w:tcPr>
          <w:p w14:paraId="185DD53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116</w:t>
            </w:r>
          </w:p>
        </w:tc>
        <w:tc>
          <w:tcPr>
            <w:tcW w:w="523" w:type="pct"/>
            <w:noWrap w:val="0"/>
            <w:vAlign w:val="center"/>
          </w:tcPr>
          <w:p w14:paraId="63B0E76A">
            <w:pPr>
              <w:widowControl/>
              <w:jc w:val="center"/>
              <w:textAlignment w:val="center"/>
              <w:rPr>
                <w:rFonts w:eastAsia="仿宋_GB2312"/>
                <w:color w:val="000000"/>
                <w:sz w:val="22"/>
                <w:szCs w:val="22"/>
              </w:rPr>
            </w:pPr>
            <w:r>
              <w:rPr>
                <w:rFonts w:eastAsia="仿宋_GB2312"/>
                <w:color w:val="000000"/>
                <w:kern w:val="0"/>
                <w:sz w:val="22"/>
                <w:szCs w:val="22"/>
                <w:lang w:bidi="ar"/>
              </w:rPr>
              <w:t>8.9.1</w:t>
            </w:r>
          </w:p>
        </w:tc>
        <w:tc>
          <w:tcPr>
            <w:tcW w:w="2496" w:type="pct"/>
            <w:noWrap w:val="0"/>
            <w:vAlign w:val="center"/>
          </w:tcPr>
          <w:p w14:paraId="1030B020">
            <w:pPr>
              <w:widowControl/>
              <w:jc w:val="left"/>
              <w:textAlignment w:val="center"/>
              <w:rPr>
                <w:rFonts w:eastAsia="仿宋_GB2312"/>
                <w:color w:val="000000"/>
                <w:sz w:val="22"/>
                <w:szCs w:val="22"/>
              </w:rPr>
            </w:pPr>
            <w:r>
              <w:rPr>
                <w:rFonts w:eastAsia="仿宋_GB2312"/>
                <w:color w:val="000000"/>
                <w:kern w:val="0"/>
                <w:sz w:val="22"/>
                <w:szCs w:val="22"/>
                <w:lang w:bidi="ar"/>
              </w:rPr>
              <w:t>原材料的发放和使用一般应当遵循先进先出原则。</w:t>
            </w:r>
          </w:p>
        </w:tc>
        <w:tc>
          <w:tcPr>
            <w:tcW w:w="407" w:type="pct"/>
            <w:noWrap w:val="0"/>
            <w:vAlign w:val="center"/>
          </w:tcPr>
          <w:p w14:paraId="24F5642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0D956B5">
            <w:pPr>
              <w:widowControl/>
              <w:jc w:val="center"/>
              <w:textAlignment w:val="center"/>
              <w:rPr>
                <w:rFonts w:eastAsia="仿宋_GB2312"/>
                <w:color w:val="000000"/>
                <w:sz w:val="22"/>
                <w:szCs w:val="22"/>
              </w:rPr>
            </w:pPr>
            <w:r>
              <w:rPr>
                <w:rFonts w:eastAsia="仿宋_GB2312"/>
                <w:color w:val="000000"/>
                <w:kern w:val="0"/>
                <w:sz w:val="22"/>
                <w:szCs w:val="22"/>
                <w:lang w:bidi="ar"/>
              </w:rPr>
              <w:t>《规范》第六十七条</w:t>
            </w:r>
          </w:p>
        </w:tc>
      </w:tr>
      <w:tr w14:paraId="1CB3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0B495858">
            <w:pPr>
              <w:jc w:val="center"/>
              <w:rPr>
                <w:rFonts w:eastAsia="仿宋_GB2312"/>
                <w:color w:val="000000"/>
                <w:sz w:val="22"/>
                <w:szCs w:val="22"/>
              </w:rPr>
            </w:pPr>
          </w:p>
        </w:tc>
        <w:tc>
          <w:tcPr>
            <w:tcW w:w="326" w:type="pct"/>
            <w:noWrap w:val="0"/>
            <w:vAlign w:val="center"/>
          </w:tcPr>
          <w:p w14:paraId="592D805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117</w:t>
            </w:r>
          </w:p>
        </w:tc>
        <w:tc>
          <w:tcPr>
            <w:tcW w:w="523" w:type="pct"/>
            <w:noWrap w:val="0"/>
            <w:vAlign w:val="center"/>
          </w:tcPr>
          <w:p w14:paraId="6B800888">
            <w:pPr>
              <w:widowControl/>
              <w:jc w:val="center"/>
              <w:textAlignment w:val="center"/>
              <w:rPr>
                <w:rFonts w:eastAsia="仿宋_GB2312"/>
                <w:color w:val="000000"/>
                <w:sz w:val="22"/>
                <w:szCs w:val="22"/>
              </w:rPr>
            </w:pPr>
            <w:r>
              <w:rPr>
                <w:rFonts w:eastAsia="仿宋_GB2312"/>
                <w:color w:val="000000"/>
                <w:kern w:val="0"/>
                <w:sz w:val="22"/>
                <w:szCs w:val="22"/>
                <w:lang w:bidi="ar"/>
              </w:rPr>
              <w:t>8.9.2</w:t>
            </w:r>
          </w:p>
        </w:tc>
        <w:tc>
          <w:tcPr>
            <w:tcW w:w="2496" w:type="pct"/>
            <w:noWrap w:val="0"/>
            <w:vAlign w:val="center"/>
          </w:tcPr>
          <w:p w14:paraId="5EE816DA">
            <w:pPr>
              <w:widowControl/>
              <w:jc w:val="left"/>
              <w:textAlignment w:val="center"/>
              <w:rPr>
                <w:rFonts w:eastAsia="仿宋_GB2312"/>
                <w:color w:val="000000"/>
                <w:sz w:val="22"/>
                <w:szCs w:val="22"/>
              </w:rPr>
            </w:pPr>
            <w:r>
              <w:rPr>
                <w:rFonts w:eastAsia="仿宋_GB2312"/>
                <w:color w:val="000000"/>
                <w:kern w:val="0"/>
                <w:sz w:val="22"/>
                <w:szCs w:val="22"/>
                <w:lang w:bidi="ar"/>
              </w:rPr>
              <w:t>超过贮存期的原材料应当进行复验，经评估符合规定后方可使用。超过有效期的原材料，应当按照不合格品处理。</w:t>
            </w:r>
          </w:p>
        </w:tc>
        <w:tc>
          <w:tcPr>
            <w:tcW w:w="407" w:type="pct"/>
            <w:noWrap w:val="0"/>
            <w:vAlign w:val="center"/>
          </w:tcPr>
          <w:p w14:paraId="7154326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6E35F4E">
            <w:pPr>
              <w:widowControl/>
              <w:jc w:val="center"/>
              <w:textAlignment w:val="center"/>
              <w:rPr>
                <w:rFonts w:eastAsia="仿宋_GB2312"/>
                <w:color w:val="000000"/>
                <w:sz w:val="22"/>
                <w:szCs w:val="22"/>
              </w:rPr>
            </w:pPr>
            <w:r>
              <w:rPr>
                <w:rFonts w:eastAsia="仿宋_GB2312"/>
                <w:color w:val="000000"/>
                <w:kern w:val="0"/>
                <w:sz w:val="22"/>
                <w:szCs w:val="22"/>
                <w:lang w:bidi="ar"/>
              </w:rPr>
              <w:t>《规范》第六十七条</w:t>
            </w:r>
          </w:p>
        </w:tc>
      </w:tr>
      <w:tr w14:paraId="568C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26287568">
            <w:pPr>
              <w:jc w:val="center"/>
              <w:rPr>
                <w:rFonts w:eastAsia="仿宋_GB2312"/>
                <w:color w:val="000000"/>
                <w:sz w:val="22"/>
                <w:szCs w:val="22"/>
              </w:rPr>
            </w:pPr>
          </w:p>
        </w:tc>
        <w:tc>
          <w:tcPr>
            <w:tcW w:w="326" w:type="pct"/>
            <w:noWrap w:val="0"/>
            <w:vAlign w:val="center"/>
          </w:tcPr>
          <w:p w14:paraId="5BCC954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118</w:t>
            </w:r>
          </w:p>
        </w:tc>
        <w:tc>
          <w:tcPr>
            <w:tcW w:w="523" w:type="pct"/>
            <w:noWrap w:val="0"/>
            <w:vAlign w:val="center"/>
          </w:tcPr>
          <w:p w14:paraId="5B3229FD">
            <w:pPr>
              <w:widowControl/>
              <w:jc w:val="center"/>
              <w:textAlignment w:val="center"/>
              <w:rPr>
                <w:rFonts w:eastAsia="仿宋_GB2312"/>
                <w:color w:val="000000"/>
                <w:sz w:val="22"/>
                <w:szCs w:val="22"/>
              </w:rPr>
            </w:pPr>
            <w:r>
              <w:rPr>
                <w:rFonts w:eastAsia="仿宋_GB2312"/>
                <w:color w:val="000000"/>
                <w:kern w:val="0"/>
                <w:sz w:val="22"/>
                <w:szCs w:val="22"/>
                <w:lang w:bidi="ar"/>
              </w:rPr>
              <w:t>8.10.1</w:t>
            </w:r>
          </w:p>
        </w:tc>
        <w:tc>
          <w:tcPr>
            <w:tcW w:w="2496" w:type="pct"/>
            <w:noWrap w:val="0"/>
            <w:vAlign w:val="center"/>
          </w:tcPr>
          <w:p w14:paraId="28A718CA">
            <w:pPr>
              <w:widowControl/>
              <w:jc w:val="left"/>
              <w:textAlignment w:val="center"/>
              <w:rPr>
                <w:rFonts w:eastAsia="仿宋_GB2312"/>
                <w:color w:val="000000"/>
                <w:sz w:val="22"/>
                <w:szCs w:val="22"/>
              </w:rPr>
            </w:pPr>
            <w:r>
              <w:rPr>
                <w:rFonts w:eastAsia="仿宋_GB2312"/>
                <w:color w:val="000000"/>
                <w:sz w:val="22"/>
                <w:szCs w:val="22"/>
              </w:rPr>
              <w:t>企业应当要求供应商提前告知外包软件的软件功能及性能、核心算法与架构、外部组件、软件版本、开发环境、关键开发人员、质量标准和测试方法等发生的变更。</w:t>
            </w:r>
          </w:p>
        </w:tc>
        <w:tc>
          <w:tcPr>
            <w:tcW w:w="407" w:type="pct"/>
            <w:noWrap w:val="0"/>
            <w:vAlign w:val="center"/>
          </w:tcPr>
          <w:p w14:paraId="3A25541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DB8557C">
            <w:pPr>
              <w:widowControl/>
              <w:jc w:val="center"/>
              <w:textAlignment w:val="center"/>
              <w:rPr>
                <w:rFonts w:eastAsia="仿宋_GB2312"/>
                <w:color w:val="000000"/>
                <w:sz w:val="22"/>
                <w:szCs w:val="22"/>
              </w:rPr>
            </w:pPr>
            <w:r>
              <w:rPr>
                <w:rFonts w:eastAsia="仿宋_GB2312"/>
                <w:color w:val="000000"/>
                <w:kern w:val="0"/>
                <w:sz w:val="22"/>
                <w:szCs w:val="22"/>
                <w:lang w:bidi="ar"/>
              </w:rPr>
              <w:t>《规范》第六十八条</w:t>
            </w:r>
          </w:p>
        </w:tc>
      </w:tr>
      <w:tr w14:paraId="0E6D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BD66B91">
            <w:pPr>
              <w:jc w:val="center"/>
              <w:rPr>
                <w:rFonts w:eastAsia="仿宋_GB2312"/>
                <w:color w:val="000000"/>
                <w:sz w:val="22"/>
                <w:szCs w:val="22"/>
              </w:rPr>
            </w:pPr>
          </w:p>
        </w:tc>
        <w:tc>
          <w:tcPr>
            <w:tcW w:w="326" w:type="pct"/>
            <w:noWrap w:val="0"/>
            <w:vAlign w:val="center"/>
          </w:tcPr>
          <w:p w14:paraId="6131EEF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119</w:t>
            </w:r>
          </w:p>
        </w:tc>
        <w:tc>
          <w:tcPr>
            <w:tcW w:w="523" w:type="pct"/>
            <w:noWrap w:val="0"/>
            <w:vAlign w:val="center"/>
          </w:tcPr>
          <w:p w14:paraId="5F2DC1D5">
            <w:pPr>
              <w:widowControl/>
              <w:jc w:val="center"/>
              <w:textAlignment w:val="center"/>
              <w:rPr>
                <w:rFonts w:eastAsia="仿宋_GB2312"/>
                <w:color w:val="000000"/>
                <w:sz w:val="22"/>
                <w:szCs w:val="22"/>
              </w:rPr>
            </w:pPr>
            <w:r>
              <w:rPr>
                <w:rFonts w:eastAsia="仿宋_GB2312"/>
                <w:color w:val="000000"/>
                <w:kern w:val="0"/>
                <w:sz w:val="22"/>
                <w:szCs w:val="22"/>
                <w:lang w:bidi="ar"/>
              </w:rPr>
              <w:t>8.10.2</w:t>
            </w:r>
          </w:p>
        </w:tc>
        <w:tc>
          <w:tcPr>
            <w:tcW w:w="2496" w:type="pct"/>
            <w:noWrap w:val="0"/>
            <w:vAlign w:val="center"/>
          </w:tcPr>
          <w:p w14:paraId="426023E5">
            <w:pPr>
              <w:widowControl/>
              <w:jc w:val="left"/>
              <w:textAlignment w:val="center"/>
              <w:rPr>
                <w:rFonts w:eastAsia="仿宋_GB2312"/>
                <w:color w:val="000000"/>
                <w:sz w:val="22"/>
                <w:szCs w:val="22"/>
              </w:rPr>
            </w:pPr>
            <w:r>
              <w:rPr>
                <w:rFonts w:eastAsia="仿宋_GB2312"/>
                <w:color w:val="000000"/>
                <w:spacing w:val="-6"/>
                <w:kern w:val="0"/>
                <w:sz w:val="22"/>
                <w:szCs w:val="22"/>
                <w:lang w:bidi="ar"/>
              </w:rPr>
              <w:t>企业应当评估变更对产品质量影响的范围和程度，必要时采取措施并对供应商进行现场审核。</w:t>
            </w:r>
          </w:p>
        </w:tc>
        <w:tc>
          <w:tcPr>
            <w:tcW w:w="407" w:type="pct"/>
            <w:noWrap w:val="0"/>
            <w:vAlign w:val="center"/>
          </w:tcPr>
          <w:p w14:paraId="5A39D8E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EFE8411">
            <w:pPr>
              <w:widowControl/>
              <w:jc w:val="center"/>
              <w:textAlignment w:val="center"/>
              <w:rPr>
                <w:rFonts w:eastAsia="仿宋_GB2312"/>
                <w:color w:val="000000"/>
                <w:sz w:val="22"/>
                <w:szCs w:val="22"/>
              </w:rPr>
            </w:pPr>
            <w:r>
              <w:rPr>
                <w:rFonts w:eastAsia="仿宋_GB2312"/>
                <w:color w:val="000000"/>
                <w:kern w:val="0"/>
                <w:sz w:val="22"/>
                <w:szCs w:val="22"/>
                <w:lang w:bidi="ar"/>
              </w:rPr>
              <w:t>《规范》第六十八条</w:t>
            </w:r>
          </w:p>
        </w:tc>
      </w:tr>
      <w:tr w14:paraId="24E2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4A86A503">
            <w:pPr>
              <w:jc w:val="center"/>
              <w:rPr>
                <w:rFonts w:eastAsia="仿宋_GB2312"/>
                <w:color w:val="000000"/>
                <w:sz w:val="22"/>
                <w:szCs w:val="22"/>
              </w:rPr>
            </w:pPr>
          </w:p>
        </w:tc>
        <w:tc>
          <w:tcPr>
            <w:tcW w:w="326" w:type="pct"/>
            <w:noWrap w:val="0"/>
            <w:vAlign w:val="center"/>
          </w:tcPr>
          <w:p w14:paraId="215DC31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120</w:t>
            </w:r>
          </w:p>
        </w:tc>
        <w:tc>
          <w:tcPr>
            <w:tcW w:w="523" w:type="pct"/>
            <w:noWrap w:val="0"/>
            <w:vAlign w:val="center"/>
          </w:tcPr>
          <w:p w14:paraId="0FF23534">
            <w:pPr>
              <w:widowControl/>
              <w:jc w:val="center"/>
              <w:textAlignment w:val="center"/>
              <w:rPr>
                <w:rFonts w:eastAsia="仿宋_GB2312"/>
                <w:color w:val="000000"/>
                <w:sz w:val="22"/>
                <w:szCs w:val="22"/>
              </w:rPr>
            </w:pPr>
            <w:r>
              <w:rPr>
                <w:rFonts w:eastAsia="仿宋_GB2312"/>
                <w:color w:val="000000"/>
                <w:kern w:val="0"/>
                <w:sz w:val="22"/>
                <w:szCs w:val="22"/>
                <w:lang w:bidi="ar"/>
              </w:rPr>
              <w:t>8.11.1</w:t>
            </w:r>
          </w:p>
        </w:tc>
        <w:tc>
          <w:tcPr>
            <w:tcW w:w="2496" w:type="pct"/>
            <w:noWrap w:val="0"/>
            <w:vAlign w:val="center"/>
          </w:tcPr>
          <w:p w14:paraId="7BF7FAAD">
            <w:pPr>
              <w:widowControl/>
              <w:jc w:val="left"/>
              <w:textAlignment w:val="center"/>
              <w:rPr>
                <w:rFonts w:eastAsia="仿宋_GB2312"/>
                <w:color w:val="000000"/>
                <w:sz w:val="22"/>
                <w:szCs w:val="22"/>
              </w:rPr>
            </w:pPr>
            <w:r>
              <w:rPr>
                <w:rFonts w:eastAsia="仿宋_GB2312"/>
                <w:color w:val="000000"/>
                <w:kern w:val="0"/>
                <w:sz w:val="22"/>
                <w:szCs w:val="22"/>
                <w:lang w:bidi="ar"/>
              </w:rPr>
              <w:t>现成软件采购应当形成文件，根据现成软件的类型、使用方式、对产品质量影响程度，确定分类管理、质量控制、供应商审核等活动要求。</w:t>
            </w:r>
          </w:p>
        </w:tc>
        <w:tc>
          <w:tcPr>
            <w:tcW w:w="407" w:type="pct"/>
            <w:noWrap w:val="0"/>
            <w:vAlign w:val="center"/>
          </w:tcPr>
          <w:p w14:paraId="705BF24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CECD1B2">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《独立软件附录》2.4.1</w:t>
            </w:r>
          </w:p>
        </w:tc>
      </w:tr>
      <w:tr w14:paraId="74C2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restart"/>
            <w:noWrap w:val="0"/>
            <w:vAlign w:val="center"/>
          </w:tcPr>
          <w:p w14:paraId="421A17B5">
            <w:pPr>
              <w:widowControl/>
              <w:jc w:val="center"/>
              <w:textAlignment w:val="center"/>
              <w:rPr>
                <w:rFonts w:eastAsia="仿宋_GB2312"/>
                <w:color w:val="000000"/>
                <w:sz w:val="22"/>
                <w:szCs w:val="22"/>
              </w:rPr>
            </w:pPr>
            <w:r>
              <w:rPr>
                <w:rFonts w:eastAsia="仿宋_GB2312"/>
                <w:color w:val="000000"/>
                <w:kern w:val="0"/>
                <w:sz w:val="22"/>
                <w:szCs w:val="22"/>
                <w:lang w:bidi="ar"/>
              </w:rPr>
              <w:t>第九章 验证与确认</w:t>
            </w:r>
          </w:p>
        </w:tc>
        <w:tc>
          <w:tcPr>
            <w:tcW w:w="326" w:type="pct"/>
            <w:noWrap w:val="0"/>
            <w:vAlign w:val="center"/>
          </w:tcPr>
          <w:p w14:paraId="218E5E6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121</w:t>
            </w:r>
          </w:p>
        </w:tc>
        <w:tc>
          <w:tcPr>
            <w:tcW w:w="523" w:type="pct"/>
            <w:noWrap w:val="0"/>
            <w:vAlign w:val="center"/>
          </w:tcPr>
          <w:p w14:paraId="6D516BC0">
            <w:pPr>
              <w:widowControl/>
              <w:jc w:val="center"/>
              <w:textAlignment w:val="center"/>
              <w:rPr>
                <w:rFonts w:eastAsia="仿宋_GB2312"/>
                <w:color w:val="000000"/>
                <w:sz w:val="22"/>
                <w:szCs w:val="22"/>
              </w:rPr>
            </w:pPr>
            <w:r>
              <w:rPr>
                <w:rFonts w:eastAsia="仿宋_GB2312"/>
                <w:color w:val="000000"/>
                <w:kern w:val="0"/>
                <w:sz w:val="22"/>
                <w:szCs w:val="22"/>
                <w:lang w:bidi="ar"/>
              </w:rPr>
              <w:t>9.1.1</w:t>
            </w:r>
          </w:p>
        </w:tc>
        <w:tc>
          <w:tcPr>
            <w:tcW w:w="2496" w:type="pct"/>
            <w:noWrap w:val="0"/>
            <w:vAlign w:val="center"/>
          </w:tcPr>
          <w:p w14:paraId="52A30FBE">
            <w:pPr>
              <w:widowControl/>
              <w:jc w:val="left"/>
              <w:textAlignment w:val="center"/>
              <w:rPr>
                <w:rFonts w:eastAsia="仿宋_GB2312"/>
                <w:color w:val="000000"/>
                <w:sz w:val="22"/>
                <w:szCs w:val="22"/>
              </w:rPr>
            </w:pPr>
            <w:r>
              <w:rPr>
                <w:rFonts w:eastAsia="仿宋_GB2312"/>
                <w:color w:val="000000"/>
                <w:kern w:val="0"/>
                <w:sz w:val="22"/>
                <w:szCs w:val="22"/>
                <w:lang w:bidi="ar"/>
              </w:rPr>
              <w:t>企业应当基于风险评估确定验证或者确认的范围和程度，以证明相关设施设备、操作以及产品实现过程中的关键要素得到有效控制。</w:t>
            </w:r>
          </w:p>
        </w:tc>
        <w:tc>
          <w:tcPr>
            <w:tcW w:w="407" w:type="pct"/>
            <w:noWrap w:val="0"/>
            <w:vAlign w:val="center"/>
          </w:tcPr>
          <w:p w14:paraId="2C646A8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FA90503">
            <w:pPr>
              <w:widowControl/>
              <w:jc w:val="center"/>
              <w:textAlignment w:val="center"/>
              <w:rPr>
                <w:rFonts w:eastAsia="仿宋_GB2312"/>
                <w:color w:val="000000"/>
                <w:sz w:val="22"/>
                <w:szCs w:val="22"/>
              </w:rPr>
            </w:pPr>
            <w:r>
              <w:rPr>
                <w:rFonts w:eastAsia="仿宋_GB2312"/>
                <w:color w:val="000000"/>
                <w:kern w:val="0"/>
                <w:sz w:val="22"/>
                <w:szCs w:val="22"/>
                <w:lang w:bidi="ar"/>
              </w:rPr>
              <w:t>《规范》第六十九条</w:t>
            </w:r>
          </w:p>
        </w:tc>
      </w:tr>
      <w:tr w14:paraId="61C2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1184CC10">
            <w:pPr>
              <w:jc w:val="center"/>
              <w:rPr>
                <w:rFonts w:eastAsia="仿宋_GB2312"/>
                <w:color w:val="000000"/>
                <w:sz w:val="22"/>
                <w:szCs w:val="22"/>
              </w:rPr>
            </w:pPr>
          </w:p>
        </w:tc>
        <w:tc>
          <w:tcPr>
            <w:tcW w:w="326" w:type="pct"/>
            <w:noWrap w:val="0"/>
            <w:vAlign w:val="center"/>
          </w:tcPr>
          <w:p w14:paraId="181104E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122</w:t>
            </w:r>
          </w:p>
        </w:tc>
        <w:tc>
          <w:tcPr>
            <w:tcW w:w="523" w:type="pct"/>
            <w:noWrap w:val="0"/>
            <w:vAlign w:val="center"/>
          </w:tcPr>
          <w:p w14:paraId="72F0D504">
            <w:pPr>
              <w:widowControl/>
              <w:jc w:val="center"/>
              <w:textAlignment w:val="center"/>
              <w:rPr>
                <w:rFonts w:eastAsia="仿宋_GB2312"/>
                <w:color w:val="000000"/>
                <w:sz w:val="22"/>
                <w:szCs w:val="22"/>
              </w:rPr>
            </w:pPr>
            <w:r>
              <w:rPr>
                <w:rFonts w:eastAsia="仿宋_GB2312"/>
                <w:color w:val="000000"/>
                <w:kern w:val="0"/>
                <w:sz w:val="22"/>
                <w:szCs w:val="22"/>
                <w:lang w:bidi="ar"/>
              </w:rPr>
              <w:t>9.2.1</w:t>
            </w:r>
          </w:p>
        </w:tc>
        <w:tc>
          <w:tcPr>
            <w:tcW w:w="2496" w:type="pct"/>
            <w:noWrap w:val="0"/>
            <w:vAlign w:val="center"/>
          </w:tcPr>
          <w:p w14:paraId="5ED37D2B">
            <w:pPr>
              <w:widowControl/>
              <w:jc w:val="left"/>
              <w:textAlignment w:val="center"/>
              <w:rPr>
                <w:rFonts w:eastAsia="仿宋_GB2312"/>
                <w:color w:val="000000"/>
                <w:sz w:val="22"/>
                <w:szCs w:val="22"/>
              </w:rPr>
            </w:pPr>
            <w:r>
              <w:rPr>
                <w:rFonts w:eastAsia="仿宋_GB2312"/>
                <w:color w:val="000000"/>
                <w:kern w:val="0"/>
                <w:sz w:val="22"/>
                <w:szCs w:val="22"/>
                <w:lang w:bidi="ar"/>
              </w:rPr>
              <w:t>厂房、设施以及主要设备应当经过确认。企业应当采用经过验证或者确认的生产工艺、操作规程和检验方法进行生产和检验，确保在验证或者确认过的状态下开展相关活动。</w:t>
            </w:r>
          </w:p>
        </w:tc>
        <w:tc>
          <w:tcPr>
            <w:tcW w:w="407" w:type="pct"/>
            <w:noWrap w:val="0"/>
            <w:vAlign w:val="center"/>
          </w:tcPr>
          <w:p w14:paraId="4C1F0B5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FC843CE">
            <w:pPr>
              <w:widowControl/>
              <w:jc w:val="center"/>
              <w:textAlignment w:val="center"/>
              <w:rPr>
                <w:rFonts w:eastAsia="仿宋_GB2312"/>
                <w:color w:val="000000"/>
                <w:sz w:val="22"/>
                <w:szCs w:val="22"/>
              </w:rPr>
            </w:pPr>
            <w:r>
              <w:rPr>
                <w:rFonts w:eastAsia="仿宋_GB2312"/>
                <w:color w:val="000000"/>
                <w:kern w:val="0"/>
                <w:sz w:val="22"/>
                <w:szCs w:val="22"/>
                <w:lang w:bidi="ar"/>
              </w:rPr>
              <w:t>《规范》第七十条</w:t>
            </w:r>
          </w:p>
        </w:tc>
      </w:tr>
      <w:tr w14:paraId="1834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27BCA936">
            <w:pPr>
              <w:jc w:val="center"/>
              <w:rPr>
                <w:rFonts w:eastAsia="仿宋_GB2312"/>
                <w:color w:val="000000"/>
                <w:sz w:val="22"/>
                <w:szCs w:val="22"/>
              </w:rPr>
            </w:pPr>
          </w:p>
        </w:tc>
        <w:tc>
          <w:tcPr>
            <w:tcW w:w="326" w:type="pct"/>
            <w:noWrap w:val="0"/>
            <w:vAlign w:val="center"/>
          </w:tcPr>
          <w:p w14:paraId="2FE07EB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123</w:t>
            </w:r>
          </w:p>
        </w:tc>
        <w:tc>
          <w:tcPr>
            <w:tcW w:w="523" w:type="pct"/>
            <w:noWrap w:val="0"/>
            <w:vAlign w:val="center"/>
          </w:tcPr>
          <w:p w14:paraId="210F388C">
            <w:pPr>
              <w:widowControl/>
              <w:jc w:val="center"/>
              <w:textAlignment w:val="center"/>
              <w:rPr>
                <w:rFonts w:eastAsia="仿宋_GB2312"/>
                <w:color w:val="000000"/>
                <w:sz w:val="22"/>
                <w:szCs w:val="22"/>
              </w:rPr>
            </w:pPr>
            <w:r>
              <w:rPr>
                <w:rFonts w:eastAsia="仿宋_GB2312"/>
                <w:color w:val="000000"/>
                <w:kern w:val="0"/>
                <w:sz w:val="22"/>
                <w:szCs w:val="22"/>
                <w:lang w:bidi="ar"/>
              </w:rPr>
              <w:t>9.3.1</w:t>
            </w:r>
          </w:p>
        </w:tc>
        <w:tc>
          <w:tcPr>
            <w:tcW w:w="2496" w:type="pct"/>
            <w:noWrap w:val="0"/>
            <w:vAlign w:val="center"/>
          </w:tcPr>
          <w:p w14:paraId="4A2C7E16">
            <w:pPr>
              <w:widowControl/>
              <w:jc w:val="left"/>
              <w:textAlignment w:val="center"/>
              <w:rPr>
                <w:rFonts w:eastAsia="仿宋_GB2312"/>
                <w:color w:val="000000"/>
                <w:sz w:val="22"/>
                <w:szCs w:val="22"/>
              </w:rPr>
            </w:pPr>
            <w:r>
              <w:rPr>
                <w:rFonts w:eastAsia="仿宋_GB2312"/>
                <w:color w:val="000000"/>
                <w:kern w:val="0"/>
                <w:sz w:val="22"/>
                <w:szCs w:val="22"/>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407" w:type="pct"/>
            <w:noWrap w:val="0"/>
            <w:vAlign w:val="center"/>
          </w:tcPr>
          <w:p w14:paraId="17A9125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1AD21BA">
            <w:pPr>
              <w:widowControl/>
              <w:jc w:val="center"/>
              <w:textAlignment w:val="center"/>
              <w:rPr>
                <w:rFonts w:eastAsia="仿宋_GB2312"/>
                <w:color w:val="000000"/>
                <w:sz w:val="22"/>
                <w:szCs w:val="22"/>
              </w:rPr>
            </w:pPr>
            <w:r>
              <w:rPr>
                <w:rFonts w:eastAsia="仿宋_GB2312"/>
                <w:color w:val="000000"/>
                <w:kern w:val="0"/>
                <w:sz w:val="22"/>
                <w:szCs w:val="22"/>
                <w:lang w:bidi="ar"/>
              </w:rPr>
              <w:t>《规范》第七十一条</w:t>
            </w:r>
          </w:p>
        </w:tc>
      </w:tr>
      <w:tr w14:paraId="7F8E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2670EA0">
            <w:pPr>
              <w:jc w:val="center"/>
              <w:rPr>
                <w:rFonts w:eastAsia="仿宋_GB2312"/>
                <w:color w:val="000000"/>
                <w:sz w:val="22"/>
                <w:szCs w:val="22"/>
              </w:rPr>
            </w:pPr>
          </w:p>
        </w:tc>
        <w:tc>
          <w:tcPr>
            <w:tcW w:w="326" w:type="pct"/>
            <w:noWrap w:val="0"/>
            <w:vAlign w:val="center"/>
          </w:tcPr>
          <w:p w14:paraId="3C399C0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124</w:t>
            </w:r>
          </w:p>
        </w:tc>
        <w:tc>
          <w:tcPr>
            <w:tcW w:w="523" w:type="pct"/>
            <w:noWrap w:val="0"/>
            <w:vAlign w:val="center"/>
          </w:tcPr>
          <w:p w14:paraId="773F4FE2">
            <w:pPr>
              <w:widowControl/>
              <w:jc w:val="center"/>
              <w:textAlignment w:val="center"/>
              <w:rPr>
                <w:rFonts w:eastAsia="仿宋_GB2312"/>
                <w:color w:val="000000"/>
                <w:sz w:val="22"/>
                <w:szCs w:val="22"/>
              </w:rPr>
            </w:pPr>
            <w:r>
              <w:rPr>
                <w:rFonts w:eastAsia="仿宋_GB2312"/>
                <w:color w:val="000000"/>
                <w:kern w:val="0"/>
                <w:sz w:val="22"/>
                <w:szCs w:val="22"/>
                <w:lang w:bidi="ar"/>
              </w:rPr>
              <w:t>9.4.1</w:t>
            </w:r>
          </w:p>
        </w:tc>
        <w:tc>
          <w:tcPr>
            <w:tcW w:w="2496" w:type="pct"/>
            <w:noWrap w:val="0"/>
            <w:vAlign w:val="center"/>
          </w:tcPr>
          <w:p w14:paraId="2B0A255B">
            <w:pPr>
              <w:widowControl/>
              <w:jc w:val="left"/>
              <w:textAlignment w:val="center"/>
              <w:rPr>
                <w:rFonts w:eastAsia="仿宋_GB2312"/>
                <w:color w:val="000000"/>
                <w:sz w:val="22"/>
                <w:szCs w:val="22"/>
              </w:rPr>
            </w:pPr>
            <w:r>
              <w:rPr>
                <w:rFonts w:eastAsia="仿宋_GB2312"/>
                <w:color w:val="000000"/>
                <w:kern w:val="0"/>
                <w:sz w:val="22"/>
                <w:szCs w:val="22"/>
                <w:lang w:bidi="ar"/>
              </w:rPr>
              <w:t>工艺验证或者确认应当证明生产过程按照规定的工艺参数能够持续生产出符合强制性标准、产品技术要求和预期用途的产品。</w:t>
            </w:r>
          </w:p>
        </w:tc>
        <w:tc>
          <w:tcPr>
            <w:tcW w:w="407" w:type="pct"/>
            <w:noWrap w:val="0"/>
            <w:vAlign w:val="center"/>
          </w:tcPr>
          <w:p w14:paraId="546C20F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C9C3DE7">
            <w:pPr>
              <w:widowControl/>
              <w:jc w:val="center"/>
              <w:textAlignment w:val="center"/>
              <w:rPr>
                <w:rFonts w:eastAsia="仿宋_GB2312"/>
                <w:color w:val="000000"/>
                <w:sz w:val="22"/>
                <w:szCs w:val="22"/>
              </w:rPr>
            </w:pPr>
            <w:r>
              <w:rPr>
                <w:rFonts w:eastAsia="仿宋_GB2312"/>
                <w:color w:val="000000"/>
                <w:kern w:val="0"/>
                <w:sz w:val="22"/>
                <w:szCs w:val="22"/>
                <w:lang w:bidi="ar"/>
              </w:rPr>
              <w:t>《规范》第七十二条</w:t>
            </w:r>
          </w:p>
        </w:tc>
      </w:tr>
      <w:tr w14:paraId="45D7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4893E03">
            <w:pPr>
              <w:jc w:val="center"/>
              <w:rPr>
                <w:rFonts w:eastAsia="仿宋_GB2312"/>
                <w:color w:val="000000"/>
                <w:sz w:val="22"/>
                <w:szCs w:val="22"/>
              </w:rPr>
            </w:pPr>
          </w:p>
        </w:tc>
        <w:tc>
          <w:tcPr>
            <w:tcW w:w="326" w:type="pct"/>
            <w:noWrap w:val="0"/>
            <w:vAlign w:val="center"/>
          </w:tcPr>
          <w:p w14:paraId="3735EAC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125</w:t>
            </w:r>
          </w:p>
        </w:tc>
        <w:tc>
          <w:tcPr>
            <w:tcW w:w="523" w:type="pct"/>
            <w:noWrap w:val="0"/>
            <w:vAlign w:val="center"/>
          </w:tcPr>
          <w:p w14:paraId="769C7FEB">
            <w:pPr>
              <w:widowControl/>
              <w:jc w:val="center"/>
              <w:textAlignment w:val="center"/>
              <w:rPr>
                <w:rFonts w:eastAsia="仿宋_GB2312"/>
                <w:color w:val="000000"/>
                <w:sz w:val="22"/>
                <w:szCs w:val="22"/>
              </w:rPr>
            </w:pPr>
            <w:r>
              <w:rPr>
                <w:rFonts w:eastAsia="仿宋_GB2312"/>
                <w:color w:val="000000"/>
                <w:kern w:val="0"/>
                <w:sz w:val="22"/>
                <w:szCs w:val="22"/>
                <w:lang w:bidi="ar"/>
              </w:rPr>
              <w:t>9.4.2</w:t>
            </w:r>
          </w:p>
        </w:tc>
        <w:tc>
          <w:tcPr>
            <w:tcW w:w="2496" w:type="pct"/>
            <w:noWrap w:val="0"/>
            <w:vAlign w:val="center"/>
          </w:tcPr>
          <w:p w14:paraId="1053955A">
            <w:pPr>
              <w:widowControl/>
              <w:jc w:val="left"/>
              <w:textAlignment w:val="center"/>
              <w:rPr>
                <w:rFonts w:eastAsia="仿宋_GB2312"/>
                <w:color w:val="000000"/>
                <w:sz w:val="22"/>
                <w:szCs w:val="22"/>
              </w:rPr>
            </w:pPr>
            <w:r>
              <w:rPr>
                <w:rFonts w:eastAsia="仿宋_GB2312"/>
                <w:color w:val="000000"/>
                <w:kern w:val="0"/>
                <w:sz w:val="22"/>
                <w:szCs w:val="22"/>
                <w:lang w:bidi="ar"/>
              </w:rPr>
              <w:t>特殊过程应当经过确认，关键工序应当经过验证。</w:t>
            </w:r>
          </w:p>
        </w:tc>
        <w:tc>
          <w:tcPr>
            <w:tcW w:w="407" w:type="pct"/>
            <w:noWrap w:val="0"/>
            <w:vAlign w:val="center"/>
          </w:tcPr>
          <w:p w14:paraId="38DFF74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5AB2A26">
            <w:pPr>
              <w:widowControl/>
              <w:jc w:val="center"/>
              <w:textAlignment w:val="center"/>
              <w:rPr>
                <w:rFonts w:eastAsia="仿宋_GB2312"/>
                <w:color w:val="000000"/>
                <w:sz w:val="22"/>
                <w:szCs w:val="22"/>
              </w:rPr>
            </w:pPr>
            <w:r>
              <w:rPr>
                <w:rFonts w:eastAsia="仿宋_GB2312"/>
                <w:color w:val="000000"/>
                <w:kern w:val="0"/>
                <w:sz w:val="22"/>
                <w:szCs w:val="22"/>
                <w:lang w:bidi="ar"/>
              </w:rPr>
              <w:t>《规范》第七十二条</w:t>
            </w:r>
          </w:p>
        </w:tc>
      </w:tr>
      <w:tr w14:paraId="4FC1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continue"/>
            <w:noWrap w:val="0"/>
            <w:vAlign w:val="center"/>
          </w:tcPr>
          <w:p w14:paraId="794A80D2">
            <w:pPr>
              <w:jc w:val="center"/>
              <w:rPr>
                <w:rFonts w:eastAsia="仿宋_GB2312"/>
                <w:color w:val="000000"/>
                <w:sz w:val="22"/>
                <w:szCs w:val="22"/>
              </w:rPr>
            </w:pPr>
          </w:p>
        </w:tc>
        <w:tc>
          <w:tcPr>
            <w:tcW w:w="326" w:type="pct"/>
            <w:noWrap w:val="0"/>
            <w:vAlign w:val="center"/>
          </w:tcPr>
          <w:p w14:paraId="69DC20F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126</w:t>
            </w:r>
          </w:p>
        </w:tc>
        <w:tc>
          <w:tcPr>
            <w:tcW w:w="523" w:type="pct"/>
            <w:noWrap w:val="0"/>
            <w:vAlign w:val="center"/>
          </w:tcPr>
          <w:p w14:paraId="686ECE28">
            <w:pPr>
              <w:widowControl/>
              <w:jc w:val="center"/>
              <w:textAlignment w:val="center"/>
              <w:rPr>
                <w:rFonts w:eastAsia="仿宋_GB2312"/>
                <w:color w:val="000000"/>
                <w:sz w:val="22"/>
                <w:szCs w:val="22"/>
              </w:rPr>
            </w:pPr>
            <w:r>
              <w:rPr>
                <w:rFonts w:eastAsia="仿宋_GB2312"/>
                <w:color w:val="000000"/>
                <w:kern w:val="0"/>
                <w:sz w:val="22"/>
                <w:szCs w:val="22"/>
                <w:lang w:bidi="ar"/>
              </w:rPr>
              <w:t>9.5.1</w:t>
            </w:r>
          </w:p>
        </w:tc>
        <w:tc>
          <w:tcPr>
            <w:tcW w:w="2496" w:type="pct"/>
            <w:noWrap w:val="0"/>
            <w:vAlign w:val="center"/>
          </w:tcPr>
          <w:p w14:paraId="57CC92D9">
            <w:pPr>
              <w:widowControl/>
              <w:jc w:val="left"/>
              <w:textAlignment w:val="center"/>
              <w:rPr>
                <w:rFonts w:eastAsia="仿宋_GB2312"/>
                <w:color w:val="000000"/>
                <w:sz w:val="22"/>
                <w:szCs w:val="22"/>
              </w:rPr>
            </w:pPr>
            <w:r>
              <w:rPr>
                <w:rFonts w:eastAsia="仿宋_GB2312"/>
                <w:color w:val="000000"/>
                <w:kern w:val="0"/>
                <w:sz w:val="22"/>
                <w:szCs w:val="22"/>
                <w:lang w:bidi="ar"/>
              </w:rPr>
              <w:t>关键原材料、生产环境、生产工艺、主要生产和检验设备、检验方法等影响产品质量的主要因素发生变更时，企业应当进行验证或者确认。需要进行注册变更、备案变更或者生产事项变更报告的，企业应当按照相关要求完成。</w:t>
            </w:r>
          </w:p>
        </w:tc>
        <w:tc>
          <w:tcPr>
            <w:tcW w:w="407" w:type="pct"/>
            <w:noWrap w:val="0"/>
            <w:vAlign w:val="center"/>
          </w:tcPr>
          <w:p w14:paraId="1C3960F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280E97A">
            <w:pPr>
              <w:widowControl/>
              <w:jc w:val="center"/>
              <w:textAlignment w:val="center"/>
              <w:rPr>
                <w:rFonts w:eastAsia="仿宋_GB2312"/>
                <w:color w:val="000000"/>
                <w:sz w:val="22"/>
                <w:szCs w:val="22"/>
              </w:rPr>
            </w:pPr>
            <w:r>
              <w:rPr>
                <w:rFonts w:eastAsia="仿宋_GB2312"/>
                <w:color w:val="000000"/>
                <w:kern w:val="0"/>
                <w:sz w:val="22"/>
                <w:szCs w:val="22"/>
                <w:lang w:bidi="ar"/>
              </w:rPr>
              <w:t>《规范》第七十四条</w:t>
            </w:r>
          </w:p>
        </w:tc>
      </w:tr>
      <w:tr w14:paraId="0678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7FA30B8B">
            <w:pPr>
              <w:jc w:val="center"/>
              <w:rPr>
                <w:rFonts w:eastAsia="仿宋_GB2312"/>
                <w:color w:val="000000"/>
                <w:sz w:val="22"/>
                <w:szCs w:val="22"/>
              </w:rPr>
            </w:pPr>
          </w:p>
        </w:tc>
        <w:tc>
          <w:tcPr>
            <w:tcW w:w="326" w:type="pct"/>
            <w:noWrap w:val="0"/>
            <w:vAlign w:val="center"/>
          </w:tcPr>
          <w:p w14:paraId="11CD238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127</w:t>
            </w:r>
          </w:p>
        </w:tc>
        <w:tc>
          <w:tcPr>
            <w:tcW w:w="523" w:type="pct"/>
            <w:noWrap w:val="0"/>
            <w:vAlign w:val="center"/>
          </w:tcPr>
          <w:p w14:paraId="263940B2">
            <w:pPr>
              <w:widowControl/>
              <w:jc w:val="center"/>
              <w:textAlignment w:val="center"/>
              <w:rPr>
                <w:rFonts w:eastAsia="仿宋_GB2312"/>
                <w:color w:val="000000"/>
                <w:sz w:val="22"/>
                <w:szCs w:val="22"/>
              </w:rPr>
            </w:pPr>
            <w:r>
              <w:rPr>
                <w:rFonts w:eastAsia="仿宋_GB2312"/>
                <w:color w:val="000000"/>
                <w:kern w:val="0"/>
                <w:sz w:val="22"/>
                <w:szCs w:val="22"/>
                <w:lang w:bidi="ar"/>
              </w:rPr>
              <w:t>9.6.1</w:t>
            </w:r>
          </w:p>
        </w:tc>
        <w:tc>
          <w:tcPr>
            <w:tcW w:w="2496" w:type="pct"/>
            <w:noWrap w:val="0"/>
            <w:vAlign w:val="center"/>
          </w:tcPr>
          <w:p w14:paraId="6E970AA7">
            <w:pPr>
              <w:widowControl/>
              <w:jc w:val="left"/>
              <w:textAlignment w:val="center"/>
              <w:rPr>
                <w:rFonts w:eastAsia="仿宋_GB2312"/>
                <w:color w:val="000000"/>
                <w:sz w:val="22"/>
                <w:szCs w:val="22"/>
              </w:rPr>
            </w:pPr>
            <w:r>
              <w:rPr>
                <w:rFonts w:eastAsia="仿宋_GB2312"/>
                <w:color w:val="000000"/>
                <w:kern w:val="0"/>
                <w:sz w:val="22"/>
                <w:szCs w:val="22"/>
                <w:lang w:bidi="ar"/>
              </w:rPr>
              <w:t>首次验证或者确认后，企业应当根据产品质量回顾分析情况对生产工艺、设备设施等进行再验证或者再确认，确保其能够达到预期结果。</w:t>
            </w:r>
          </w:p>
        </w:tc>
        <w:tc>
          <w:tcPr>
            <w:tcW w:w="407" w:type="pct"/>
            <w:noWrap w:val="0"/>
            <w:vAlign w:val="center"/>
          </w:tcPr>
          <w:p w14:paraId="44415417">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83BB76E">
            <w:pPr>
              <w:widowControl/>
              <w:jc w:val="center"/>
              <w:textAlignment w:val="center"/>
              <w:rPr>
                <w:rFonts w:eastAsia="仿宋_GB2312"/>
                <w:color w:val="000000"/>
                <w:sz w:val="22"/>
                <w:szCs w:val="22"/>
              </w:rPr>
            </w:pPr>
            <w:r>
              <w:rPr>
                <w:rFonts w:eastAsia="仿宋_GB2312"/>
                <w:color w:val="000000"/>
                <w:kern w:val="0"/>
                <w:sz w:val="22"/>
                <w:szCs w:val="22"/>
                <w:lang w:bidi="ar"/>
              </w:rPr>
              <w:t>《规范》第七十五条</w:t>
            </w:r>
          </w:p>
        </w:tc>
      </w:tr>
      <w:tr w14:paraId="7379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74966CD5">
            <w:pPr>
              <w:jc w:val="center"/>
              <w:rPr>
                <w:rFonts w:eastAsia="仿宋_GB2312"/>
                <w:color w:val="000000"/>
                <w:sz w:val="22"/>
                <w:szCs w:val="22"/>
              </w:rPr>
            </w:pPr>
          </w:p>
        </w:tc>
        <w:tc>
          <w:tcPr>
            <w:tcW w:w="326" w:type="pct"/>
            <w:noWrap w:val="0"/>
            <w:vAlign w:val="center"/>
          </w:tcPr>
          <w:p w14:paraId="3ED4BE2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128</w:t>
            </w:r>
          </w:p>
        </w:tc>
        <w:tc>
          <w:tcPr>
            <w:tcW w:w="523" w:type="pct"/>
            <w:noWrap w:val="0"/>
            <w:vAlign w:val="center"/>
          </w:tcPr>
          <w:p w14:paraId="57E4D982">
            <w:pPr>
              <w:widowControl/>
              <w:jc w:val="center"/>
              <w:textAlignment w:val="center"/>
              <w:rPr>
                <w:rFonts w:eastAsia="仿宋_GB2312"/>
                <w:color w:val="000000"/>
                <w:sz w:val="22"/>
                <w:szCs w:val="22"/>
              </w:rPr>
            </w:pPr>
            <w:r>
              <w:rPr>
                <w:rFonts w:eastAsia="仿宋_GB2312"/>
                <w:color w:val="000000"/>
                <w:kern w:val="0"/>
                <w:sz w:val="22"/>
                <w:szCs w:val="22"/>
                <w:lang w:bidi="ar"/>
              </w:rPr>
              <w:t>9.6.2</w:t>
            </w:r>
          </w:p>
        </w:tc>
        <w:tc>
          <w:tcPr>
            <w:tcW w:w="2496" w:type="pct"/>
            <w:noWrap w:val="0"/>
            <w:vAlign w:val="center"/>
          </w:tcPr>
          <w:p w14:paraId="680D4072">
            <w:pPr>
              <w:widowControl/>
              <w:jc w:val="left"/>
              <w:textAlignment w:val="center"/>
              <w:rPr>
                <w:rFonts w:eastAsia="仿宋_GB2312"/>
                <w:color w:val="000000"/>
                <w:sz w:val="22"/>
                <w:szCs w:val="22"/>
              </w:rPr>
            </w:pPr>
            <w:r>
              <w:rPr>
                <w:rFonts w:eastAsia="仿宋_GB2312"/>
                <w:color w:val="000000"/>
                <w:kern w:val="0"/>
                <w:sz w:val="22"/>
                <w:szCs w:val="22"/>
                <w:lang w:bidi="ar"/>
              </w:rPr>
              <w:t>使用历史数据开展回顾性验证或者确认的，企业应当确保所使用数据适当且充分。</w:t>
            </w:r>
          </w:p>
        </w:tc>
        <w:tc>
          <w:tcPr>
            <w:tcW w:w="407" w:type="pct"/>
            <w:noWrap w:val="0"/>
            <w:vAlign w:val="center"/>
          </w:tcPr>
          <w:p w14:paraId="6557389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1A9F83D">
            <w:pPr>
              <w:widowControl/>
              <w:jc w:val="center"/>
              <w:textAlignment w:val="center"/>
              <w:rPr>
                <w:rFonts w:eastAsia="仿宋_GB2312"/>
                <w:color w:val="000000"/>
                <w:sz w:val="22"/>
                <w:szCs w:val="22"/>
              </w:rPr>
            </w:pPr>
            <w:r>
              <w:rPr>
                <w:rFonts w:eastAsia="仿宋_GB2312"/>
                <w:color w:val="000000"/>
                <w:kern w:val="0"/>
                <w:sz w:val="22"/>
                <w:szCs w:val="22"/>
                <w:lang w:bidi="ar"/>
              </w:rPr>
              <w:t>《规范》第七十五条</w:t>
            </w:r>
          </w:p>
        </w:tc>
      </w:tr>
      <w:tr w14:paraId="66A6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4E3D6FC6">
            <w:pPr>
              <w:jc w:val="center"/>
              <w:rPr>
                <w:rFonts w:eastAsia="仿宋_GB2312"/>
                <w:color w:val="000000"/>
                <w:sz w:val="22"/>
                <w:szCs w:val="22"/>
              </w:rPr>
            </w:pPr>
          </w:p>
        </w:tc>
        <w:tc>
          <w:tcPr>
            <w:tcW w:w="326" w:type="pct"/>
            <w:noWrap w:val="0"/>
            <w:vAlign w:val="center"/>
          </w:tcPr>
          <w:p w14:paraId="1C1EAF7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129</w:t>
            </w:r>
          </w:p>
        </w:tc>
        <w:tc>
          <w:tcPr>
            <w:tcW w:w="523" w:type="pct"/>
            <w:noWrap w:val="0"/>
            <w:vAlign w:val="center"/>
          </w:tcPr>
          <w:p w14:paraId="4198FC93">
            <w:pPr>
              <w:widowControl/>
              <w:jc w:val="center"/>
              <w:textAlignment w:val="center"/>
              <w:rPr>
                <w:rFonts w:eastAsia="仿宋_GB2312"/>
                <w:color w:val="000000"/>
                <w:sz w:val="22"/>
                <w:szCs w:val="22"/>
              </w:rPr>
            </w:pPr>
            <w:r>
              <w:rPr>
                <w:rFonts w:eastAsia="仿宋_GB2312"/>
                <w:color w:val="000000"/>
                <w:kern w:val="0"/>
                <w:sz w:val="22"/>
                <w:szCs w:val="22"/>
                <w:lang w:bidi="ar"/>
              </w:rPr>
              <w:t>9.7.1</w:t>
            </w:r>
          </w:p>
        </w:tc>
        <w:tc>
          <w:tcPr>
            <w:tcW w:w="2496" w:type="pct"/>
            <w:noWrap w:val="0"/>
            <w:vAlign w:val="center"/>
          </w:tcPr>
          <w:p w14:paraId="172B2266">
            <w:pPr>
              <w:widowControl/>
              <w:jc w:val="left"/>
              <w:textAlignment w:val="center"/>
              <w:rPr>
                <w:rFonts w:eastAsia="仿宋_GB2312"/>
                <w:color w:val="000000"/>
                <w:sz w:val="22"/>
                <w:szCs w:val="22"/>
              </w:rPr>
            </w:pPr>
            <w:r>
              <w:rPr>
                <w:rFonts w:eastAsia="仿宋_GB2312"/>
                <w:color w:val="000000"/>
                <w:kern w:val="0"/>
                <w:sz w:val="22"/>
                <w:szCs w:val="22"/>
                <w:lang w:bidi="ar"/>
              </w:rPr>
              <w:t>企业应当制定验证或者确认计划，并根据验证或者确认对象制定方案。方案应当经过审核和批准，至少包括：验证或者确认对象、部门和人员职责、实施环境、方法、取样要求、接收准则等。</w:t>
            </w:r>
          </w:p>
        </w:tc>
        <w:tc>
          <w:tcPr>
            <w:tcW w:w="407" w:type="pct"/>
            <w:noWrap w:val="0"/>
            <w:vAlign w:val="center"/>
          </w:tcPr>
          <w:p w14:paraId="4D002BE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F78DF61">
            <w:pPr>
              <w:widowControl/>
              <w:jc w:val="center"/>
              <w:textAlignment w:val="center"/>
              <w:rPr>
                <w:rFonts w:eastAsia="仿宋_GB2312"/>
                <w:color w:val="000000"/>
                <w:sz w:val="22"/>
                <w:szCs w:val="22"/>
              </w:rPr>
            </w:pPr>
            <w:r>
              <w:rPr>
                <w:rFonts w:eastAsia="仿宋_GB2312"/>
                <w:color w:val="000000"/>
                <w:kern w:val="0"/>
                <w:sz w:val="22"/>
                <w:szCs w:val="22"/>
                <w:lang w:bidi="ar"/>
              </w:rPr>
              <w:t>《规范》第七十六条</w:t>
            </w:r>
          </w:p>
        </w:tc>
      </w:tr>
      <w:tr w14:paraId="2297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44DA5709">
            <w:pPr>
              <w:jc w:val="center"/>
              <w:rPr>
                <w:rFonts w:eastAsia="仿宋_GB2312"/>
                <w:color w:val="000000"/>
                <w:sz w:val="22"/>
                <w:szCs w:val="22"/>
              </w:rPr>
            </w:pPr>
          </w:p>
        </w:tc>
        <w:tc>
          <w:tcPr>
            <w:tcW w:w="326" w:type="pct"/>
            <w:noWrap w:val="0"/>
            <w:vAlign w:val="center"/>
          </w:tcPr>
          <w:p w14:paraId="460BDA4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130</w:t>
            </w:r>
          </w:p>
        </w:tc>
        <w:tc>
          <w:tcPr>
            <w:tcW w:w="523" w:type="pct"/>
            <w:noWrap w:val="0"/>
            <w:vAlign w:val="center"/>
          </w:tcPr>
          <w:p w14:paraId="54E5F6C8">
            <w:pPr>
              <w:widowControl/>
              <w:jc w:val="center"/>
              <w:textAlignment w:val="center"/>
              <w:rPr>
                <w:rFonts w:eastAsia="仿宋_GB2312"/>
                <w:color w:val="000000"/>
                <w:sz w:val="22"/>
                <w:szCs w:val="22"/>
              </w:rPr>
            </w:pPr>
            <w:r>
              <w:rPr>
                <w:rFonts w:eastAsia="仿宋_GB2312"/>
                <w:color w:val="000000"/>
                <w:kern w:val="0"/>
                <w:sz w:val="22"/>
                <w:szCs w:val="22"/>
                <w:lang w:bidi="ar"/>
              </w:rPr>
              <w:t>9.7.2</w:t>
            </w:r>
          </w:p>
        </w:tc>
        <w:tc>
          <w:tcPr>
            <w:tcW w:w="2496" w:type="pct"/>
            <w:noWrap w:val="0"/>
            <w:vAlign w:val="center"/>
          </w:tcPr>
          <w:p w14:paraId="65FEC435">
            <w:pPr>
              <w:widowControl/>
              <w:jc w:val="left"/>
              <w:textAlignment w:val="center"/>
              <w:rPr>
                <w:rFonts w:eastAsia="仿宋_GB2312"/>
                <w:color w:val="000000"/>
                <w:sz w:val="22"/>
                <w:szCs w:val="22"/>
              </w:rPr>
            </w:pPr>
            <w:r>
              <w:rPr>
                <w:rFonts w:eastAsia="仿宋_GB2312"/>
                <w:color w:val="000000"/>
                <w:kern w:val="0"/>
                <w:sz w:val="22"/>
                <w:szCs w:val="22"/>
                <w:lang w:bidi="ar"/>
              </w:rPr>
              <w:t>企业应当按照方案实施验证或者确认，形成报告并保留相关记录。</w:t>
            </w:r>
          </w:p>
        </w:tc>
        <w:tc>
          <w:tcPr>
            <w:tcW w:w="407" w:type="pct"/>
            <w:noWrap w:val="0"/>
            <w:vAlign w:val="center"/>
          </w:tcPr>
          <w:p w14:paraId="3F42E92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F212EDE">
            <w:pPr>
              <w:widowControl/>
              <w:jc w:val="center"/>
              <w:textAlignment w:val="center"/>
              <w:rPr>
                <w:rFonts w:eastAsia="仿宋_GB2312"/>
                <w:color w:val="000000"/>
                <w:sz w:val="22"/>
                <w:szCs w:val="22"/>
              </w:rPr>
            </w:pPr>
            <w:r>
              <w:rPr>
                <w:rFonts w:eastAsia="仿宋_GB2312"/>
                <w:color w:val="000000"/>
                <w:kern w:val="0"/>
                <w:sz w:val="22"/>
                <w:szCs w:val="22"/>
                <w:lang w:bidi="ar"/>
              </w:rPr>
              <w:t>《规范》第七十六条</w:t>
            </w:r>
          </w:p>
        </w:tc>
      </w:tr>
      <w:tr w14:paraId="1C84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589" w:type="pct"/>
            <w:vMerge w:val="continue"/>
            <w:noWrap w:val="0"/>
            <w:vAlign w:val="center"/>
          </w:tcPr>
          <w:p w14:paraId="0AE19E72">
            <w:pPr>
              <w:jc w:val="center"/>
              <w:rPr>
                <w:rFonts w:eastAsia="仿宋_GB2312"/>
                <w:color w:val="000000"/>
                <w:sz w:val="22"/>
                <w:szCs w:val="22"/>
              </w:rPr>
            </w:pPr>
          </w:p>
        </w:tc>
        <w:tc>
          <w:tcPr>
            <w:tcW w:w="326" w:type="pct"/>
            <w:noWrap w:val="0"/>
            <w:vAlign w:val="center"/>
          </w:tcPr>
          <w:p w14:paraId="7EA1A8C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131</w:t>
            </w:r>
          </w:p>
        </w:tc>
        <w:tc>
          <w:tcPr>
            <w:tcW w:w="523" w:type="pct"/>
            <w:noWrap w:val="0"/>
            <w:vAlign w:val="center"/>
          </w:tcPr>
          <w:p w14:paraId="680EDB6A">
            <w:pPr>
              <w:widowControl/>
              <w:jc w:val="center"/>
              <w:textAlignment w:val="center"/>
              <w:rPr>
                <w:rFonts w:eastAsia="仿宋_GB2312"/>
                <w:color w:val="000000"/>
                <w:sz w:val="22"/>
                <w:szCs w:val="22"/>
              </w:rPr>
            </w:pPr>
            <w:r>
              <w:rPr>
                <w:rFonts w:eastAsia="仿宋_GB2312"/>
                <w:color w:val="000000"/>
                <w:kern w:val="0"/>
                <w:sz w:val="22"/>
                <w:szCs w:val="22"/>
                <w:lang w:bidi="ar"/>
              </w:rPr>
              <w:t>9.8.1</w:t>
            </w:r>
          </w:p>
        </w:tc>
        <w:tc>
          <w:tcPr>
            <w:tcW w:w="2496" w:type="pct"/>
            <w:noWrap w:val="0"/>
            <w:vAlign w:val="center"/>
          </w:tcPr>
          <w:p w14:paraId="73E0AD7F">
            <w:pPr>
              <w:widowControl/>
              <w:jc w:val="left"/>
              <w:textAlignment w:val="center"/>
              <w:rPr>
                <w:rFonts w:eastAsia="仿宋_GB2312"/>
                <w:color w:val="000000"/>
                <w:sz w:val="22"/>
                <w:szCs w:val="22"/>
              </w:rPr>
            </w:pPr>
            <w:r>
              <w:rPr>
                <w:rFonts w:eastAsia="仿宋_GB2312"/>
                <w:color w:val="000000"/>
                <w:kern w:val="0"/>
                <w:sz w:val="22"/>
                <w:szCs w:val="22"/>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407" w:type="pct"/>
            <w:noWrap w:val="0"/>
            <w:vAlign w:val="center"/>
          </w:tcPr>
          <w:p w14:paraId="705184E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12AB659">
            <w:pPr>
              <w:widowControl/>
              <w:jc w:val="center"/>
              <w:textAlignment w:val="center"/>
              <w:rPr>
                <w:rFonts w:eastAsia="仿宋_GB2312"/>
                <w:color w:val="000000"/>
                <w:sz w:val="22"/>
                <w:szCs w:val="22"/>
              </w:rPr>
            </w:pPr>
            <w:r>
              <w:rPr>
                <w:rFonts w:eastAsia="仿宋_GB2312"/>
                <w:color w:val="000000"/>
                <w:kern w:val="0"/>
                <w:sz w:val="22"/>
                <w:szCs w:val="22"/>
                <w:lang w:bidi="ar"/>
              </w:rPr>
              <w:t>《规范》第七十七条</w:t>
            </w:r>
          </w:p>
        </w:tc>
      </w:tr>
      <w:tr w14:paraId="12DE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jc w:val="center"/>
        </w:trPr>
        <w:tc>
          <w:tcPr>
            <w:tcW w:w="589" w:type="pct"/>
            <w:vMerge w:val="restart"/>
            <w:noWrap w:val="0"/>
            <w:vAlign w:val="center"/>
          </w:tcPr>
          <w:p w14:paraId="46C77FFF">
            <w:pPr>
              <w:widowControl/>
              <w:jc w:val="center"/>
              <w:textAlignment w:val="center"/>
              <w:rPr>
                <w:rFonts w:eastAsia="仿宋_GB2312"/>
                <w:color w:val="000000"/>
                <w:sz w:val="22"/>
                <w:szCs w:val="22"/>
              </w:rPr>
            </w:pPr>
            <w:r>
              <w:rPr>
                <w:rFonts w:eastAsia="仿宋_GB2312"/>
                <w:color w:val="000000"/>
                <w:kern w:val="0"/>
                <w:sz w:val="22"/>
                <w:szCs w:val="22"/>
                <w:lang w:bidi="ar"/>
              </w:rPr>
              <w:t>第十章 生产管理</w:t>
            </w:r>
          </w:p>
        </w:tc>
        <w:tc>
          <w:tcPr>
            <w:tcW w:w="326" w:type="pct"/>
            <w:noWrap w:val="0"/>
            <w:vAlign w:val="center"/>
          </w:tcPr>
          <w:p w14:paraId="6580329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132</w:t>
            </w:r>
          </w:p>
        </w:tc>
        <w:tc>
          <w:tcPr>
            <w:tcW w:w="523" w:type="pct"/>
            <w:noWrap w:val="0"/>
            <w:vAlign w:val="center"/>
          </w:tcPr>
          <w:p w14:paraId="3EAC08AA">
            <w:pPr>
              <w:widowControl/>
              <w:jc w:val="center"/>
              <w:textAlignment w:val="center"/>
              <w:rPr>
                <w:rFonts w:eastAsia="仿宋_GB2312"/>
                <w:color w:val="000000"/>
                <w:sz w:val="22"/>
                <w:szCs w:val="22"/>
              </w:rPr>
            </w:pPr>
            <w:r>
              <w:rPr>
                <w:rFonts w:eastAsia="仿宋_GB2312"/>
                <w:color w:val="000000"/>
                <w:kern w:val="0"/>
                <w:sz w:val="22"/>
                <w:szCs w:val="22"/>
                <w:lang w:bidi="ar"/>
              </w:rPr>
              <w:t>10.1.1</w:t>
            </w:r>
          </w:p>
        </w:tc>
        <w:tc>
          <w:tcPr>
            <w:tcW w:w="2496" w:type="pct"/>
            <w:noWrap w:val="0"/>
            <w:vAlign w:val="center"/>
          </w:tcPr>
          <w:p w14:paraId="4ECEFBB9">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企业应当建立生产过程控制程序，明确操作人员、生产设备、原材料和中间产品、生产工艺和操作规程、生产环境、过程检验或者监控等要求，并按照要求组织生产。</w:t>
            </w:r>
          </w:p>
        </w:tc>
        <w:tc>
          <w:tcPr>
            <w:tcW w:w="407" w:type="pct"/>
            <w:noWrap w:val="0"/>
            <w:vAlign w:val="center"/>
          </w:tcPr>
          <w:p w14:paraId="64E93E82">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CDF77F3">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《规范》第七十八条</w:t>
            </w:r>
          </w:p>
        </w:tc>
      </w:tr>
      <w:tr w14:paraId="0D94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A9AA04C">
            <w:pPr>
              <w:jc w:val="center"/>
              <w:rPr>
                <w:rFonts w:eastAsia="仿宋_GB2312"/>
                <w:color w:val="000000"/>
                <w:sz w:val="22"/>
                <w:szCs w:val="22"/>
              </w:rPr>
            </w:pPr>
          </w:p>
        </w:tc>
        <w:tc>
          <w:tcPr>
            <w:tcW w:w="326" w:type="pct"/>
            <w:noWrap w:val="0"/>
            <w:vAlign w:val="center"/>
          </w:tcPr>
          <w:p w14:paraId="1BAA6F4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133</w:t>
            </w:r>
          </w:p>
        </w:tc>
        <w:tc>
          <w:tcPr>
            <w:tcW w:w="523" w:type="pct"/>
            <w:noWrap w:val="0"/>
            <w:vAlign w:val="center"/>
          </w:tcPr>
          <w:p w14:paraId="262BECE4">
            <w:pPr>
              <w:widowControl/>
              <w:jc w:val="center"/>
              <w:textAlignment w:val="center"/>
              <w:rPr>
                <w:rFonts w:eastAsia="仿宋_GB2312"/>
                <w:color w:val="000000"/>
                <w:sz w:val="22"/>
                <w:szCs w:val="22"/>
              </w:rPr>
            </w:pPr>
            <w:r>
              <w:rPr>
                <w:rFonts w:eastAsia="仿宋_GB2312"/>
                <w:color w:val="000000"/>
                <w:kern w:val="0"/>
                <w:sz w:val="22"/>
                <w:szCs w:val="22"/>
                <w:lang w:bidi="ar"/>
              </w:rPr>
              <w:t>10.2.1</w:t>
            </w:r>
          </w:p>
        </w:tc>
        <w:tc>
          <w:tcPr>
            <w:tcW w:w="2496" w:type="pct"/>
            <w:noWrap w:val="0"/>
            <w:vAlign w:val="center"/>
          </w:tcPr>
          <w:p w14:paraId="4D306A2E">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每批产品均应当有生产记录，并满足追溯要求。</w:t>
            </w:r>
          </w:p>
        </w:tc>
        <w:tc>
          <w:tcPr>
            <w:tcW w:w="407" w:type="pct"/>
            <w:noWrap w:val="0"/>
            <w:vAlign w:val="center"/>
          </w:tcPr>
          <w:p w14:paraId="5C4DCA2F">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421CCA2">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《规范》第八十一条</w:t>
            </w:r>
          </w:p>
        </w:tc>
      </w:tr>
      <w:tr w14:paraId="4ED6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3CFB4AA6">
            <w:pPr>
              <w:jc w:val="center"/>
              <w:rPr>
                <w:rFonts w:eastAsia="仿宋_GB2312"/>
                <w:color w:val="000000"/>
                <w:sz w:val="22"/>
                <w:szCs w:val="22"/>
              </w:rPr>
            </w:pPr>
          </w:p>
        </w:tc>
        <w:tc>
          <w:tcPr>
            <w:tcW w:w="326" w:type="pct"/>
            <w:noWrap w:val="0"/>
            <w:vAlign w:val="center"/>
          </w:tcPr>
          <w:p w14:paraId="5C67203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134</w:t>
            </w:r>
          </w:p>
        </w:tc>
        <w:tc>
          <w:tcPr>
            <w:tcW w:w="523" w:type="pct"/>
            <w:noWrap w:val="0"/>
            <w:vAlign w:val="center"/>
          </w:tcPr>
          <w:p w14:paraId="5ECBF4E9">
            <w:pPr>
              <w:widowControl/>
              <w:jc w:val="center"/>
              <w:textAlignment w:val="center"/>
              <w:rPr>
                <w:rFonts w:eastAsia="仿宋_GB2312"/>
                <w:color w:val="000000"/>
                <w:sz w:val="22"/>
                <w:szCs w:val="22"/>
              </w:rPr>
            </w:pPr>
            <w:r>
              <w:rPr>
                <w:rFonts w:eastAsia="仿宋_GB2312"/>
                <w:color w:val="000000"/>
                <w:kern w:val="0"/>
                <w:sz w:val="22"/>
                <w:szCs w:val="22"/>
                <w:lang w:bidi="ar"/>
              </w:rPr>
              <w:t>10.2.2</w:t>
            </w:r>
          </w:p>
        </w:tc>
        <w:tc>
          <w:tcPr>
            <w:tcW w:w="2496" w:type="pct"/>
            <w:noWrap w:val="0"/>
            <w:vAlign w:val="center"/>
          </w:tcPr>
          <w:p w14:paraId="444FD3C7">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生产记录至少包括产品名称、规格型号、软件版本、生产批号或者产品编号（医疗器械唯一标识）、生产日期、数量、主要设备、操作人员等内容。</w:t>
            </w:r>
          </w:p>
        </w:tc>
        <w:tc>
          <w:tcPr>
            <w:tcW w:w="407" w:type="pct"/>
            <w:noWrap w:val="0"/>
            <w:vAlign w:val="center"/>
          </w:tcPr>
          <w:p w14:paraId="1459854F">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DE2A443">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《规范》第八十一条</w:t>
            </w:r>
          </w:p>
        </w:tc>
      </w:tr>
      <w:tr w14:paraId="171B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589" w:type="pct"/>
            <w:vMerge w:val="continue"/>
            <w:noWrap w:val="0"/>
            <w:vAlign w:val="center"/>
          </w:tcPr>
          <w:p w14:paraId="71D20178">
            <w:pPr>
              <w:jc w:val="center"/>
              <w:rPr>
                <w:rFonts w:eastAsia="仿宋_GB2312"/>
                <w:color w:val="000000"/>
                <w:sz w:val="22"/>
                <w:szCs w:val="22"/>
              </w:rPr>
            </w:pPr>
          </w:p>
        </w:tc>
        <w:tc>
          <w:tcPr>
            <w:tcW w:w="326" w:type="pct"/>
            <w:noWrap w:val="0"/>
            <w:vAlign w:val="center"/>
          </w:tcPr>
          <w:p w14:paraId="3C45383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135</w:t>
            </w:r>
          </w:p>
        </w:tc>
        <w:tc>
          <w:tcPr>
            <w:tcW w:w="523" w:type="pct"/>
            <w:noWrap w:val="0"/>
            <w:vAlign w:val="center"/>
          </w:tcPr>
          <w:p w14:paraId="41B23F89">
            <w:pPr>
              <w:widowControl/>
              <w:jc w:val="center"/>
              <w:textAlignment w:val="center"/>
              <w:rPr>
                <w:rFonts w:eastAsia="仿宋_GB2312"/>
                <w:color w:val="000000"/>
                <w:sz w:val="22"/>
                <w:szCs w:val="22"/>
              </w:rPr>
            </w:pPr>
            <w:r>
              <w:rPr>
                <w:rFonts w:eastAsia="仿宋_GB2312"/>
                <w:color w:val="000000"/>
                <w:kern w:val="0"/>
                <w:sz w:val="22"/>
                <w:szCs w:val="22"/>
                <w:lang w:bidi="ar"/>
              </w:rPr>
              <w:t>10.3.1</w:t>
            </w:r>
          </w:p>
        </w:tc>
        <w:tc>
          <w:tcPr>
            <w:tcW w:w="2496" w:type="pct"/>
            <w:noWrap w:val="0"/>
            <w:vAlign w:val="center"/>
          </w:tcPr>
          <w:p w14:paraId="123C6BE5">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企业应当建立产品标识控制程序，采用适宜方法对产品进行标识，防止混淆、差错以及不合格中间产品流入下道工序。</w:t>
            </w:r>
          </w:p>
        </w:tc>
        <w:tc>
          <w:tcPr>
            <w:tcW w:w="407" w:type="pct"/>
            <w:noWrap w:val="0"/>
            <w:vAlign w:val="center"/>
          </w:tcPr>
          <w:p w14:paraId="5D0D546A">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406AEA0">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《规范》第八十三条</w:t>
            </w:r>
          </w:p>
        </w:tc>
      </w:tr>
      <w:tr w14:paraId="0457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589" w:type="pct"/>
            <w:vMerge w:val="continue"/>
            <w:noWrap w:val="0"/>
            <w:vAlign w:val="center"/>
          </w:tcPr>
          <w:p w14:paraId="59D4085A">
            <w:pPr>
              <w:jc w:val="center"/>
              <w:rPr>
                <w:rFonts w:eastAsia="仿宋_GB2312"/>
                <w:color w:val="000000"/>
                <w:sz w:val="22"/>
                <w:szCs w:val="22"/>
              </w:rPr>
            </w:pPr>
          </w:p>
        </w:tc>
        <w:tc>
          <w:tcPr>
            <w:tcW w:w="326" w:type="pct"/>
            <w:noWrap w:val="0"/>
            <w:vAlign w:val="center"/>
          </w:tcPr>
          <w:p w14:paraId="28253A7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136</w:t>
            </w:r>
          </w:p>
        </w:tc>
        <w:tc>
          <w:tcPr>
            <w:tcW w:w="523" w:type="pct"/>
            <w:noWrap w:val="0"/>
            <w:vAlign w:val="center"/>
          </w:tcPr>
          <w:p w14:paraId="36F44CE2">
            <w:pPr>
              <w:widowControl/>
              <w:jc w:val="center"/>
              <w:textAlignment w:val="center"/>
              <w:rPr>
                <w:rFonts w:eastAsia="仿宋_GB2312"/>
                <w:color w:val="000000"/>
                <w:sz w:val="22"/>
                <w:szCs w:val="22"/>
              </w:rPr>
            </w:pPr>
            <w:r>
              <w:rPr>
                <w:rFonts w:eastAsia="仿宋_GB2312"/>
                <w:color w:val="000000"/>
                <w:kern w:val="0"/>
                <w:sz w:val="22"/>
                <w:szCs w:val="22"/>
                <w:lang w:bidi="ar"/>
              </w:rPr>
              <w:t>10.4.1</w:t>
            </w:r>
          </w:p>
        </w:tc>
        <w:tc>
          <w:tcPr>
            <w:tcW w:w="2496" w:type="pct"/>
            <w:noWrap w:val="0"/>
            <w:vAlign w:val="center"/>
          </w:tcPr>
          <w:p w14:paraId="262FC09B">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产品说明书、标签应当符合相关法律、法规、规章以及标准要求并进行有效管控。</w:t>
            </w:r>
          </w:p>
        </w:tc>
        <w:tc>
          <w:tcPr>
            <w:tcW w:w="407" w:type="pct"/>
            <w:noWrap w:val="0"/>
            <w:vAlign w:val="center"/>
          </w:tcPr>
          <w:p w14:paraId="32F78C6A">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790E344">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《规范》第八十四条</w:t>
            </w:r>
          </w:p>
        </w:tc>
      </w:tr>
      <w:tr w14:paraId="3153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jc w:val="center"/>
        </w:trPr>
        <w:tc>
          <w:tcPr>
            <w:tcW w:w="589" w:type="pct"/>
            <w:vMerge w:val="continue"/>
            <w:noWrap w:val="0"/>
            <w:vAlign w:val="center"/>
          </w:tcPr>
          <w:p w14:paraId="5B1E7C02">
            <w:pPr>
              <w:jc w:val="center"/>
              <w:rPr>
                <w:rFonts w:eastAsia="仿宋_GB2312"/>
                <w:color w:val="000000"/>
                <w:sz w:val="22"/>
                <w:szCs w:val="22"/>
              </w:rPr>
            </w:pPr>
          </w:p>
        </w:tc>
        <w:tc>
          <w:tcPr>
            <w:tcW w:w="326" w:type="pct"/>
            <w:noWrap w:val="0"/>
            <w:vAlign w:val="center"/>
          </w:tcPr>
          <w:p w14:paraId="7213A03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137</w:t>
            </w:r>
          </w:p>
        </w:tc>
        <w:tc>
          <w:tcPr>
            <w:tcW w:w="523" w:type="pct"/>
            <w:noWrap w:val="0"/>
            <w:vAlign w:val="center"/>
          </w:tcPr>
          <w:p w14:paraId="1B6ADEFE">
            <w:pPr>
              <w:widowControl/>
              <w:jc w:val="center"/>
              <w:textAlignment w:val="center"/>
              <w:rPr>
                <w:rFonts w:eastAsia="仿宋_GB2312"/>
                <w:color w:val="000000"/>
                <w:sz w:val="22"/>
                <w:szCs w:val="22"/>
              </w:rPr>
            </w:pPr>
            <w:r>
              <w:rPr>
                <w:rFonts w:eastAsia="仿宋_GB2312"/>
                <w:color w:val="000000"/>
                <w:kern w:val="0"/>
                <w:sz w:val="22"/>
                <w:szCs w:val="22"/>
                <w:lang w:bidi="ar"/>
              </w:rPr>
              <w:t>10.5.1</w:t>
            </w:r>
          </w:p>
        </w:tc>
        <w:tc>
          <w:tcPr>
            <w:tcW w:w="2496" w:type="pct"/>
            <w:noWrap w:val="0"/>
            <w:vAlign w:val="center"/>
          </w:tcPr>
          <w:p w14:paraId="4E486CB1">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产品防护程序，规定产品及其组成部分的防护要求，包括污染防护、静电防护、粉尘防护、腐蚀防护、运输防护和网络安全防护等。防护措施包括但不限于包装、标识、防护罩以及特殊的搬运和贮存要求等。</w:t>
            </w:r>
          </w:p>
        </w:tc>
        <w:tc>
          <w:tcPr>
            <w:tcW w:w="407" w:type="pct"/>
            <w:noWrap w:val="0"/>
            <w:vAlign w:val="center"/>
          </w:tcPr>
          <w:p w14:paraId="355D222A">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F1D6432">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《规范》第八十五条</w:t>
            </w:r>
          </w:p>
        </w:tc>
      </w:tr>
      <w:tr w14:paraId="7C3C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589" w:type="pct"/>
            <w:vMerge w:val="continue"/>
            <w:noWrap w:val="0"/>
            <w:vAlign w:val="center"/>
          </w:tcPr>
          <w:p w14:paraId="0C061F91">
            <w:pPr>
              <w:jc w:val="center"/>
              <w:rPr>
                <w:rFonts w:eastAsia="仿宋_GB2312"/>
                <w:color w:val="000000"/>
                <w:sz w:val="22"/>
                <w:szCs w:val="22"/>
              </w:rPr>
            </w:pPr>
          </w:p>
        </w:tc>
        <w:tc>
          <w:tcPr>
            <w:tcW w:w="326" w:type="pct"/>
            <w:noWrap w:val="0"/>
            <w:vAlign w:val="center"/>
          </w:tcPr>
          <w:p w14:paraId="1E21854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138</w:t>
            </w:r>
          </w:p>
        </w:tc>
        <w:tc>
          <w:tcPr>
            <w:tcW w:w="523" w:type="pct"/>
            <w:noWrap w:val="0"/>
            <w:vAlign w:val="center"/>
          </w:tcPr>
          <w:p w14:paraId="50EDB478">
            <w:pPr>
              <w:widowControl/>
              <w:jc w:val="center"/>
              <w:textAlignment w:val="center"/>
              <w:rPr>
                <w:rFonts w:eastAsia="仿宋_GB2312"/>
                <w:color w:val="000000"/>
                <w:sz w:val="22"/>
                <w:szCs w:val="22"/>
              </w:rPr>
            </w:pPr>
            <w:r>
              <w:rPr>
                <w:rFonts w:eastAsia="仿宋_GB2312"/>
                <w:color w:val="000000"/>
                <w:kern w:val="0"/>
                <w:sz w:val="22"/>
                <w:szCs w:val="22"/>
                <w:lang w:bidi="ar"/>
              </w:rPr>
              <w:t>10.6.1</w:t>
            </w:r>
          </w:p>
        </w:tc>
        <w:tc>
          <w:tcPr>
            <w:tcW w:w="2496" w:type="pct"/>
            <w:noWrap w:val="0"/>
            <w:vAlign w:val="center"/>
          </w:tcPr>
          <w:p w14:paraId="08431188">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企业应当结合产品特性和生产实际建立清场管理制度，防止生产涉及的原材料混用、相关文件差错使用。</w:t>
            </w:r>
          </w:p>
        </w:tc>
        <w:tc>
          <w:tcPr>
            <w:tcW w:w="407" w:type="pct"/>
            <w:noWrap w:val="0"/>
            <w:vAlign w:val="center"/>
          </w:tcPr>
          <w:p w14:paraId="289BD740">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91D3690">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《规范》第八十六条</w:t>
            </w:r>
          </w:p>
        </w:tc>
      </w:tr>
      <w:tr w14:paraId="4971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89" w:type="pct"/>
            <w:vMerge w:val="continue"/>
            <w:noWrap w:val="0"/>
            <w:vAlign w:val="center"/>
          </w:tcPr>
          <w:p w14:paraId="3E692927">
            <w:pPr>
              <w:jc w:val="center"/>
              <w:rPr>
                <w:rFonts w:eastAsia="仿宋_GB2312"/>
                <w:color w:val="000000"/>
                <w:sz w:val="22"/>
                <w:szCs w:val="22"/>
              </w:rPr>
            </w:pPr>
          </w:p>
        </w:tc>
        <w:tc>
          <w:tcPr>
            <w:tcW w:w="326" w:type="pct"/>
            <w:noWrap w:val="0"/>
            <w:vAlign w:val="center"/>
          </w:tcPr>
          <w:p w14:paraId="4A0B7B0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139</w:t>
            </w:r>
          </w:p>
        </w:tc>
        <w:tc>
          <w:tcPr>
            <w:tcW w:w="523" w:type="pct"/>
            <w:noWrap w:val="0"/>
            <w:vAlign w:val="center"/>
          </w:tcPr>
          <w:p w14:paraId="3DEC5A07">
            <w:pPr>
              <w:widowControl/>
              <w:jc w:val="center"/>
              <w:textAlignment w:val="center"/>
              <w:rPr>
                <w:rFonts w:eastAsia="仿宋_GB2312"/>
                <w:color w:val="000000"/>
                <w:sz w:val="22"/>
                <w:szCs w:val="22"/>
              </w:rPr>
            </w:pPr>
            <w:r>
              <w:rPr>
                <w:rFonts w:eastAsia="仿宋_GB2312"/>
                <w:color w:val="000000"/>
                <w:kern w:val="0"/>
                <w:sz w:val="22"/>
                <w:szCs w:val="22"/>
                <w:lang w:bidi="ar"/>
              </w:rPr>
              <w:t>10.6.2</w:t>
            </w:r>
          </w:p>
        </w:tc>
        <w:tc>
          <w:tcPr>
            <w:tcW w:w="2496" w:type="pct"/>
            <w:noWrap w:val="0"/>
            <w:vAlign w:val="center"/>
          </w:tcPr>
          <w:p w14:paraId="68D9FD9F">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生产开始前，企业应当对前次清场情况进行确认。清场记录和确认应当纳入批生产记录。</w:t>
            </w:r>
          </w:p>
        </w:tc>
        <w:tc>
          <w:tcPr>
            <w:tcW w:w="407" w:type="pct"/>
            <w:noWrap w:val="0"/>
            <w:vAlign w:val="center"/>
          </w:tcPr>
          <w:p w14:paraId="1C9390B7">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4F15D0B">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《规范》第八十六条</w:t>
            </w:r>
          </w:p>
        </w:tc>
      </w:tr>
      <w:tr w14:paraId="669C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589" w:type="pct"/>
            <w:vMerge w:val="continue"/>
            <w:noWrap w:val="0"/>
            <w:vAlign w:val="center"/>
          </w:tcPr>
          <w:p w14:paraId="39660D40">
            <w:pPr>
              <w:jc w:val="center"/>
              <w:rPr>
                <w:rFonts w:eastAsia="仿宋_GB2312"/>
                <w:color w:val="000000"/>
                <w:sz w:val="22"/>
                <w:szCs w:val="22"/>
              </w:rPr>
            </w:pPr>
          </w:p>
        </w:tc>
        <w:tc>
          <w:tcPr>
            <w:tcW w:w="326" w:type="pct"/>
            <w:noWrap w:val="0"/>
            <w:vAlign w:val="center"/>
          </w:tcPr>
          <w:p w14:paraId="3BD1B13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140</w:t>
            </w:r>
          </w:p>
        </w:tc>
        <w:tc>
          <w:tcPr>
            <w:tcW w:w="523" w:type="pct"/>
            <w:noWrap w:val="0"/>
            <w:vAlign w:val="center"/>
          </w:tcPr>
          <w:p w14:paraId="76EF2B68">
            <w:pPr>
              <w:widowControl/>
              <w:jc w:val="center"/>
              <w:textAlignment w:val="center"/>
              <w:rPr>
                <w:rFonts w:eastAsia="仿宋_GB2312"/>
                <w:color w:val="000000"/>
                <w:sz w:val="22"/>
                <w:szCs w:val="22"/>
              </w:rPr>
            </w:pPr>
            <w:r>
              <w:rPr>
                <w:rFonts w:eastAsia="仿宋_GB2312"/>
                <w:color w:val="000000"/>
                <w:kern w:val="0"/>
                <w:sz w:val="22"/>
                <w:szCs w:val="22"/>
                <w:lang w:bidi="ar"/>
              </w:rPr>
              <w:t>10.7.1</w:t>
            </w:r>
          </w:p>
        </w:tc>
        <w:tc>
          <w:tcPr>
            <w:tcW w:w="2496" w:type="pct"/>
            <w:noWrap w:val="0"/>
            <w:vAlign w:val="center"/>
          </w:tcPr>
          <w:p w14:paraId="149CD993">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企业应当建立不合格品控制程序，对生产过程中的不合格原材料、中间产品和成品等进行及时有效的标识、记录、隔离并开展评审。</w:t>
            </w:r>
          </w:p>
        </w:tc>
        <w:tc>
          <w:tcPr>
            <w:tcW w:w="407" w:type="pct"/>
            <w:noWrap w:val="0"/>
            <w:vAlign w:val="center"/>
          </w:tcPr>
          <w:p w14:paraId="39B118BF">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397F37D">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《规范》第八十八条</w:t>
            </w:r>
          </w:p>
        </w:tc>
      </w:tr>
      <w:tr w14:paraId="6098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589" w:type="pct"/>
            <w:vMerge w:val="continue"/>
            <w:noWrap w:val="0"/>
            <w:vAlign w:val="center"/>
          </w:tcPr>
          <w:p w14:paraId="36A58823">
            <w:pPr>
              <w:jc w:val="center"/>
              <w:rPr>
                <w:rFonts w:eastAsia="仿宋_GB2312"/>
                <w:color w:val="000000"/>
                <w:sz w:val="22"/>
                <w:szCs w:val="22"/>
              </w:rPr>
            </w:pPr>
          </w:p>
        </w:tc>
        <w:tc>
          <w:tcPr>
            <w:tcW w:w="326" w:type="pct"/>
            <w:noWrap w:val="0"/>
            <w:vAlign w:val="center"/>
          </w:tcPr>
          <w:p w14:paraId="69FF6B7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141</w:t>
            </w:r>
          </w:p>
        </w:tc>
        <w:tc>
          <w:tcPr>
            <w:tcW w:w="523" w:type="pct"/>
            <w:noWrap w:val="0"/>
            <w:vAlign w:val="center"/>
          </w:tcPr>
          <w:p w14:paraId="54C01AE1">
            <w:pPr>
              <w:widowControl/>
              <w:jc w:val="center"/>
              <w:textAlignment w:val="center"/>
              <w:rPr>
                <w:rFonts w:eastAsia="仿宋_GB2312"/>
                <w:color w:val="000000"/>
                <w:sz w:val="22"/>
                <w:szCs w:val="22"/>
              </w:rPr>
            </w:pPr>
            <w:r>
              <w:rPr>
                <w:rFonts w:eastAsia="仿宋_GB2312"/>
                <w:color w:val="000000"/>
                <w:kern w:val="0"/>
                <w:sz w:val="22"/>
                <w:szCs w:val="22"/>
                <w:lang w:bidi="ar"/>
              </w:rPr>
              <w:t>10.8.1</w:t>
            </w:r>
          </w:p>
        </w:tc>
        <w:tc>
          <w:tcPr>
            <w:tcW w:w="2496" w:type="pct"/>
            <w:noWrap w:val="0"/>
            <w:vAlign w:val="center"/>
          </w:tcPr>
          <w:p w14:paraId="7ADDF4AB">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企业应当建立产品追溯程序，规定产品追溯范围、程度、标识和必要的记录，包括原材料编号、批号或者序列号管理、医疗器械唯一标识等。</w:t>
            </w:r>
          </w:p>
        </w:tc>
        <w:tc>
          <w:tcPr>
            <w:tcW w:w="407" w:type="pct"/>
            <w:noWrap w:val="0"/>
            <w:vAlign w:val="center"/>
          </w:tcPr>
          <w:p w14:paraId="3E28523A">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E7232EB">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《规范》第九十条</w:t>
            </w:r>
          </w:p>
        </w:tc>
      </w:tr>
      <w:tr w14:paraId="6E44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EFCDF21">
            <w:pPr>
              <w:jc w:val="center"/>
              <w:rPr>
                <w:rFonts w:eastAsia="仿宋_GB2312"/>
                <w:color w:val="000000"/>
                <w:sz w:val="22"/>
                <w:szCs w:val="22"/>
              </w:rPr>
            </w:pPr>
          </w:p>
        </w:tc>
        <w:tc>
          <w:tcPr>
            <w:tcW w:w="326" w:type="pct"/>
            <w:noWrap w:val="0"/>
            <w:vAlign w:val="center"/>
          </w:tcPr>
          <w:p w14:paraId="39D3B83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142</w:t>
            </w:r>
          </w:p>
        </w:tc>
        <w:tc>
          <w:tcPr>
            <w:tcW w:w="523" w:type="pct"/>
            <w:noWrap w:val="0"/>
            <w:vAlign w:val="center"/>
          </w:tcPr>
          <w:p w14:paraId="05402135">
            <w:pPr>
              <w:widowControl/>
              <w:jc w:val="center"/>
              <w:textAlignment w:val="center"/>
              <w:rPr>
                <w:rFonts w:eastAsia="仿宋_GB2312"/>
                <w:color w:val="000000"/>
                <w:sz w:val="22"/>
                <w:szCs w:val="22"/>
              </w:rPr>
            </w:pPr>
            <w:r>
              <w:rPr>
                <w:rFonts w:eastAsia="仿宋_GB2312"/>
                <w:color w:val="000000"/>
                <w:kern w:val="0"/>
                <w:sz w:val="22"/>
                <w:szCs w:val="22"/>
                <w:lang w:bidi="ar"/>
              </w:rPr>
              <w:t>10.9.1</w:t>
            </w:r>
          </w:p>
        </w:tc>
        <w:tc>
          <w:tcPr>
            <w:tcW w:w="2496" w:type="pct"/>
            <w:noWrap w:val="0"/>
            <w:vAlign w:val="center"/>
          </w:tcPr>
          <w:p w14:paraId="7F7F76F8">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企业应当按照国家实施医疗器械唯一标识有关要求开展赋码、数据上传和维护更新，保证信息真实、准确、完整和可追溯。</w:t>
            </w:r>
          </w:p>
        </w:tc>
        <w:tc>
          <w:tcPr>
            <w:tcW w:w="407" w:type="pct"/>
            <w:noWrap w:val="0"/>
            <w:vAlign w:val="center"/>
          </w:tcPr>
          <w:p w14:paraId="5B316E7B">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D5258FC">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《规范》第九十一条</w:t>
            </w:r>
          </w:p>
        </w:tc>
      </w:tr>
      <w:tr w14:paraId="6ACCE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24AF40C3">
            <w:pPr>
              <w:jc w:val="center"/>
              <w:rPr>
                <w:rFonts w:eastAsia="仿宋_GB2312"/>
                <w:color w:val="000000"/>
                <w:sz w:val="22"/>
                <w:szCs w:val="22"/>
              </w:rPr>
            </w:pPr>
          </w:p>
        </w:tc>
        <w:tc>
          <w:tcPr>
            <w:tcW w:w="326" w:type="pct"/>
            <w:noWrap w:val="0"/>
            <w:vAlign w:val="center"/>
          </w:tcPr>
          <w:p w14:paraId="3D9DF7B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143</w:t>
            </w:r>
          </w:p>
        </w:tc>
        <w:tc>
          <w:tcPr>
            <w:tcW w:w="523" w:type="pct"/>
            <w:noWrap w:val="0"/>
            <w:vAlign w:val="center"/>
          </w:tcPr>
          <w:p w14:paraId="19FA1A3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10.10.1</w:t>
            </w:r>
          </w:p>
        </w:tc>
        <w:tc>
          <w:tcPr>
            <w:tcW w:w="2496" w:type="pct"/>
            <w:noWrap w:val="0"/>
            <w:vAlign w:val="center"/>
          </w:tcPr>
          <w:p w14:paraId="1C69CD85">
            <w:pPr>
              <w:widowControl/>
              <w:spacing w:line="300" w:lineRule="exact"/>
              <w:jc w:val="left"/>
              <w:textAlignment w:val="center"/>
              <w:rPr>
                <w:rFonts w:eastAsia="仿宋_GB2312"/>
                <w:color w:val="000000"/>
                <w:kern w:val="0"/>
                <w:sz w:val="22"/>
                <w:szCs w:val="22"/>
                <w:lang w:bidi="ar"/>
              </w:rPr>
            </w:pPr>
            <w:r>
              <w:rPr>
                <w:rFonts w:eastAsia="仿宋_GB2312"/>
                <w:color w:val="000000"/>
                <w:kern w:val="0"/>
                <w:sz w:val="22"/>
                <w:szCs w:val="22"/>
                <w:lang w:bidi="ar"/>
              </w:rPr>
              <w:t>停产后重新生产的，企业应当制定相应规程，明确对生产环境、生产设备、供应商等的评估要求，必要时开展验证或者确认。</w:t>
            </w:r>
          </w:p>
        </w:tc>
        <w:tc>
          <w:tcPr>
            <w:tcW w:w="407" w:type="pct"/>
            <w:noWrap w:val="0"/>
            <w:vAlign w:val="center"/>
          </w:tcPr>
          <w:p w14:paraId="1D47114D">
            <w:pPr>
              <w:widowControl/>
              <w:spacing w:line="300" w:lineRule="exact"/>
              <w:jc w:val="center"/>
              <w:textAlignment w:val="center"/>
              <w:rPr>
                <w:rFonts w:eastAsia="仿宋_GB2312"/>
                <w:color w:val="000000"/>
                <w:kern w:val="0"/>
                <w:sz w:val="22"/>
                <w:szCs w:val="22"/>
                <w:lang w:bidi="ar"/>
              </w:rPr>
            </w:pPr>
            <w:r>
              <w:rPr>
                <w:rFonts w:eastAsia="仿宋_GB2312"/>
                <w:color w:val="000000"/>
                <w:kern w:val="0"/>
                <w:sz w:val="22"/>
                <w:szCs w:val="22"/>
                <w:lang w:bidi="ar"/>
              </w:rPr>
              <w:t>**</w:t>
            </w:r>
          </w:p>
        </w:tc>
        <w:tc>
          <w:tcPr>
            <w:tcW w:w="657" w:type="pct"/>
            <w:noWrap w:val="0"/>
            <w:vAlign w:val="center"/>
          </w:tcPr>
          <w:p w14:paraId="041F2447">
            <w:pPr>
              <w:widowControl/>
              <w:spacing w:line="300" w:lineRule="exact"/>
              <w:jc w:val="center"/>
              <w:textAlignment w:val="center"/>
              <w:rPr>
                <w:rFonts w:eastAsia="仿宋_GB2312"/>
                <w:color w:val="000000"/>
                <w:kern w:val="0"/>
                <w:sz w:val="22"/>
                <w:szCs w:val="22"/>
                <w:lang w:bidi="ar"/>
              </w:rPr>
            </w:pPr>
            <w:r>
              <w:rPr>
                <w:rFonts w:eastAsia="仿宋_GB2312"/>
                <w:color w:val="000000"/>
                <w:kern w:val="0"/>
                <w:sz w:val="22"/>
                <w:szCs w:val="22"/>
                <w:lang w:bidi="ar"/>
              </w:rPr>
              <w:t>《规范》第九十四条</w:t>
            </w:r>
          </w:p>
        </w:tc>
      </w:tr>
      <w:tr w14:paraId="67B4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4DFA9079">
            <w:pPr>
              <w:jc w:val="center"/>
              <w:rPr>
                <w:rFonts w:eastAsia="仿宋_GB2312"/>
                <w:color w:val="000000"/>
                <w:sz w:val="22"/>
                <w:szCs w:val="22"/>
              </w:rPr>
            </w:pPr>
          </w:p>
        </w:tc>
        <w:tc>
          <w:tcPr>
            <w:tcW w:w="326" w:type="pct"/>
            <w:noWrap w:val="0"/>
            <w:vAlign w:val="center"/>
          </w:tcPr>
          <w:p w14:paraId="03EC87C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144</w:t>
            </w:r>
          </w:p>
        </w:tc>
        <w:tc>
          <w:tcPr>
            <w:tcW w:w="523" w:type="pct"/>
            <w:noWrap w:val="0"/>
            <w:vAlign w:val="center"/>
          </w:tcPr>
          <w:p w14:paraId="194CAB67">
            <w:pPr>
              <w:widowControl/>
              <w:jc w:val="center"/>
              <w:textAlignment w:val="center"/>
              <w:rPr>
                <w:rFonts w:eastAsia="仿宋_GB2312"/>
                <w:color w:val="000000"/>
                <w:sz w:val="22"/>
                <w:szCs w:val="22"/>
              </w:rPr>
            </w:pPr>
            <w:r>
              <w:rPr>
                <w:rFonts w:eastAsia="仿宋_GB2312"/>
                <w:color w:val="000000"/>
                <w:kern w:val="0"/>
                <w:sz w:val="22"/>
                <w:szCs w:val="22"/>
                <w:lang w:bidi="ar"/>
              </w:rPr>
              <w:t>10.11.1</w:t>
            </w:r>
          </w:p>
        </w:tc>
        <w:tc>
          <w:tcPr>
            <w:tcW w:w="2496" w:type="pct"/>
            <w:noWrap w:val="0"/>
            <w:vAlign w:val="center"/>
          </w:tcPr>
          <w:p w14:paraId="1185C052">
            <w:pPr>
              <w:widowControl/>
              <w:spacing w:line="300" w:lineRule="exact"/>
              <w:jc w:val="left"/>
              <w:textAlignment w:val="center"/>
              <w:rPr>
                <w:rFonts w:eastAsia="仿宋_GB2312"/>
                <w:color w:val="000000"/>
                <w:sz w:val="22"/>
                <w:szCs w:val="22"/>
              </w:rPr>
            </w:pPr>
            <w:r>
              <w:rPr>
                <w:rFonts w:eastAsia="仿宋_GB2312"/>
                <w:color w:val="000000"/>
                <w:kern w:val="0"/>
                <w:sz w:val="22"/>
                <w:szCs w:val="22"/>
                <w:lang w:bidi="ar"/>
              </w:rPr>
              <w:t>软件发布应当形成文件，确定软件产品文件创建、软件产品与文件归档备份、软件版本识别与标记、交付形式评估与验证、病毒防护等活动要求，保证软件发布的可重复性。</w:t>
            </w:r>
          </w:p>
        </w:tc>
        <w:tc>
          <w:tcPr>
            <w:tcW w:w="407" w:type="pct"/>
            <w:noWrap w:val="0"/>
            <w:vAlign w:val="center"/>
          </w:tcPr>
          <w:p w14:paraId="07EA4EA1">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2815ABC">
            <w:pPr>
              <w:widowControl/>
              <w:spacing w:line="300" w:lineRule="exact"/>
              <w:jc w:val="center"/>
              <w:textAlignment w:val="center"/>
              <w:rPr>
                <w:rFonts w:eastAsia="仿宋_GB2312"/>
                <w:color w:val="000000"/>
                <w:sz w:val="22"/>
                <w:szCs w:val="22"/>
              </w:rPr>
            </w:pPr>
            <w:r>
              <w:rPr>
                <w:rFonts w:eastAsia="仿宋_GB2312"/>
                <w:color w:val="000000"/>
                <w:kern w:val="0"/>
                <w:sz w:val="22"/>
                <w:szCs w:val="22"/>
                <w:lang w:bidi="ar"/>
              </w:rPr>
              <w:t>《独立软件附录》2.5.1</w:t>
            </w:r>
          </w:p>
        </w:tc>
      </w:tr>
      <w:tr w14:paraId="17EC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721B0F53">
            <w:pPr>
              <w:jc w:val="center"/>
              <w:rPr>
                <w:rFonts w:eastAsia="仿宋_GB2312"/>
                <w:color w:val="000000"/>
                <w:sz w:val="22"/>
                <w:szCs w:val="22"/>
              </w:rPr>
            </w:pPr>
          </w:p>
        </w:tc>
        <w:tc>
          <w:tcPr>
            <w:tcW w:w="326" w:type="pct"/>
            <w:noWrap w:val="0"/>
            <w:vAlign w:val="center"/>
          </w:tcPr>
          <w:p w14:paraId="397F13B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145</w:t>
            </w:r>
          </w:p>
        </w:tc>
        <w:tc>
          <w:tcPr>
            <w:tcW w:w="523" w:type="pct"/>
            <w:noWrap w:val="0"/>
            <w:vAlign w:val="center"/>
          </w:tcPr>
          <w:p w14:paraId="051909CE">
            <w:pPr>
              <w:widowControl/>
              <w:jc w:val="center"/>
              <w:textAlignment w:val="center"/>
              <w:rPr>
                <w:rFonts w:eastAsia="仿宋_GB2312"/>
                <w:color w:val="000000"/>
                <w:sz w:val="22"/>
                <w:szCs w:val="22"/>
              </w:rPr>
            </w:pPr>
            <w:r>
              <w:rPr>
                <w:rFonts w:eastAsia="仿宋_GB2312"/>
                <w:color w:val="000000"/>
                <w:kern w:val="0"/>
                <w:sz w:val="22"/>
                <w:szCs w:val="22"/>
                <w:lang w:bidi="ar"/>
              </w:rPr>
              <w:t>10.12.1</w:t>
            </w:r>
          </w:p>
        </w:tc>
        <w:tc>
          <w:tcPr>
            <w:tcW w:w="2496" w:type="pct"/>
            <w:noWrap w:val="0"/>
            <w:vAlign w:val="center"/>
          </w:tcPr>
          <w:p w14:paraId="44E902D0">
            <w:pPr>
              <w:widowControl/>
              <w:jc w:val="left"/>
              <w:textAlignment w:val="center"/>
              <w:rPr>
                <w:rFonts w:eastAsia="仿宋_GB2312"/>
                <w:color w:val="000000"/>
                <w:sz w:val="22"/>
                <w:szCs w:val="22"/>
              </w:rPr>
            </w:pPr>
            <w:r>
              <w:rPr>
                <w:rFonts w:eastAsia="仿宋_GB2312"/>
                <w:color w:val="000000"/>
                <w:kern w:val="0"/>
                <w:sz w:val="22"/>
                <w:szCs w:val="22"/>
                <w:lang w:bidi="ar"/>
              </w:rPr>
              <w:t>物理交付方式应当确定软件产品复制、许可授权以及存储媒介包装、标记、防护等要求，网络交付方式应当确定软件产品标记、许可授权、网络安全保证等要求。</w:t>
            </w:r>
          </w:p>
        </w:tc>
        <w:tc>
          <w:tcPr>
            <w:tcW w:w="407" w:type="pct"/>
            <w:noWrap w:val="0"/>
            <w:vAlign w:val="center"/>
          </w:tcPr>
          <w:p w14:paraId="5F98A39F">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45092C3">
            <w:pPr>
              <w:widowControl/>
              <w:jc w:val="center"/>
              <w:textAlignment w:val="center"/>
              <w:rPr>
                <w:rFonts w:eastAsia="仿宋_GB2312"/>
                <w:color w:val="000000"/>
                <w:sz w:val="22"/>
                <w:szCs w:val="22"/>
              </w:rPr>
            </w:pPr>
            <w:r>
              <w:rPr>
                <w:rFonts w:eastAsia="仿宋_GB2312"/>
                <w:color w:val="000000"/>
                <w:kern w:val="0"/>
                <w:sz w:val="22"/>
                <w:szCs w:val="22"/>
                <w:lang w:bidi="ar"/>
              </w:rPr>
              <w:t>《独立软件附录》2.5.2</w:t>
            </w:r>
          </w:p>
        </w:tc>
      </w:tr>
      <w:tr w14:paraId="0941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restart"/>
            <w:noWrap w:val="0"/>
            <w:vAlign w:val="center"/>
          </w:tcPr>
          <w:p w14:paraId="798AAEE4">
            <w:pPr>
              <w:widowControl/>
              <w:jc w:val="center"/>
              <w:textAlignment w:val="center"/>
              <w:rPr>
                <w:rFonts w:eastAsia="仿宋_GB2312"/>
                <w:color w:val="000000"/>
                <w:sz w:val="22"/>
                <w:szCs w:val="22"/>
              </w:rPr>
            </w:pPr>
            <w:r>
              <w:rPr>
                <w:rFonts w:eastAsia="仿宋_GB2312"/>
                <w:color w:val="000000"/>
                <w:kern w:val="0"/>
                <w:sz w:val="22"/>
                <w:szCs w:val="22"/>
                <w:lang w:bidi="ar"/>
              </w:rPr>
              <w:t>第十一章 质量控制与产品放行</w:t>
            </w:r>
          </w:p>
        </w:tc>
        <w:tc>
          <w:tcPr>
            <w:tcW w:w="326" w:type="pct"/>
            <w:noWrap w:val="0"/>
            <w:vAlign w:val="center"/>
          </w:tcPr>
          <w:p w14:paraId="42CF96B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146</w:t>
            </w:r>
          </w:p>
        </w:tc>
        <w:tc>
          <w:tcPr>
            <w:tcW w:w="523" w:type="pct"/>
            <w:noWrap w:val="0"/>
            <w:vAlign w:val="center"/>
          </w:tcPr>
          <w:p w14:paraId="21225515">
            <w:pPr>
              <w:widowControl/>
              <w:jc w:val="center"/>
              <w:textAlignment w:val="center"/>
              <w:rPr>
                <w:rFonts w:eastAsia="仿宋_GB2312"/>
                <w:color w:val="000000"/>
                <w:sz w:val="22"/>
                <w:szCs w:val="22"/>
              </w:rPr>
            </w:pPr>
            <w:r>
              <w:rPr>
                <w:rFonts w:eastAsia="仿宋_GB2312"/>
                <w:color w:val="000000"/>
                <w:kern w:val="0"/>
                <w:sz w:val="22"/>
                <w:szCs w:val="22"/>
                <w:lang w:bidi="ar"/>
              </w:rPr>
              <w:t>11.1.1</w:t>
            </w:r>
          </w:p>
        </w:tc>
        <w:tc>
          <w:tcPr>
            <w:tcW w:w="2496" w:type="pct"/>
            <w:noWrap w:val="0"/>
            <w:vAlign w:val="center"/>
          </w:tcPr>
          <w:p w14:paraId="6BC4698E">
            <w:pPr>
              <w:widowControl/>
              <w:jc w:val="left"/>
              <w:textAlignment w:val="center"/>
              <w:rPr>
                <w:rFonts w:eastAsia="仿宋_GB2312"/>
                <w:color w:val="000000"/>
                <w:sz w:val="22"/>
                <w:szCs w:val="22"/>
              </w:rPr>
            </w:pPr>
            <w:r>
              <w:rPr>
                <w:rFonts w:eastAsia="仿宋_GB2312"/>
                <w:color w:val="000000"/>
                <w:kern w:val="0"/>
                <w:sz w:val="22"/>
                <w:szCs w:val="22"/>
                <w:lang w:bidi="ar"/>
              </w:rPr>
              <w:t>企业应当建立质量控制程序，明确产品质量管理组织机构、检验人员、检验操作规程以及取样、检验设备、产品放行以及留样等要求，确保原材料或者成品在放行前完成必要的检验，质量符合要求。</w:t>
            </w:r>
          </w:p>
        </w:tc>
        <w:tc>
          <w:tcPr>
            <w:tcW w:w="407" w:type="pct"/>
            <w:noWrap w:val="0"/>
            <w:vAlign w:val="center"/>
          </w:tcPr>
          <w:p w14:paraId="1913735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1DACCB1">
            <w:pPr>
              <w:widowControl/>
              <w:jc w:val="center"/>
              <w:textAlignment w:val="center"/>
              <w:rPr>
                <w:rFonts w:eastAsia="仿宋_GB2312"/>
                <w:color w:val="000000"/>
                <w:sz w:val="22"/>
                <w:szCs w:val="22"/>
              </w:rPr>
            </w:pPr>
            <w:r>
              <w:rPr>
                <w:rFonts w:eastAsia="仿宋_GB2312"/>
                <w:color w:val="000000"/>
                <w:kern w:val="0"/>
                <w:sz w:val="22"/>
                <w:szCs w:val="22"/>
                <w:lang w:bidi="ar"/>
              </w:rPr>
              <w:t>《规范》第九十五条</w:t>
            </w:r>
          </w:p>
        </w:tc>
      </w:tr>
      <w:tr w14:paraId="4EF2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5B54CAFC">
            <w:pPr>
              <w:jc w:val="center"/>
              <w:rPr>
                <w:rFonts w:eastAsia="仿宋_GB2312"/>
                <w:color w:val="000000"/>
                <w:sz w:val="22"/>
                <w:szCs w:val="22"/>
              </w:rPr>
            </w:pPr>
          </w:p>
        </w:tc>
        <w:tc>
          <w:tcPr>
            <w:tcW w:w="326" w:type="pct"/>
            <w:noWrap w:val="0"/>
            <w:vAlign w:val="center"/>
          </w:tcPr>
          <w:p w14:paraId="1AB2F4C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147</w:t>
            </w:r>
          </w:p>
        </w:tc>
        <w:tc>
          <w:tcPr>
            <w:tcW w:w="523" w:type="pct"/>
            <w:noWrap w:val="0"/>
            <w:vAlign w:val="center"/>
          </w:tcPr>
          <w:p w14:paraId="1AAF85F6">
            <w:pPr>
              <w:widowControl/>
              <w:jc w:val="center"/>
              <w:textAlignment w:val="center"/>
              <w:rPr>
                <w:rFonts w:eastAsia="仿宋_GB2312"/>
                <w:color w:val="000000"/>
                <w:sz w:val="22"/>
                <w:szCs w:val="22"/>
              </w:rPr>
            </w:pPr>
            <w:r>
              <w:rPr>
                <w:rFonts w:eastAsia="仿宋_GB2312"/>
                <w:color w:val="000000"/>
                <w:kern w:val="0"/>
                <w:sz w:val="22"/>
                <w:szCs w:val="22"/>
                <w:lang w:bidi="ar"/>
              </w:rPr>
              <w:t>11.2.1</w:t>
            </w:r>
          </w:p>
        </w:tc>
        <w:tc>
          <w:tcPr>
            <w:tcW w:w="2496" w:type="pct"/>
            <w:noWrap w:val="0"/>
            <w:vAlign w:val="center"/>
          </w:tcPr>
          <w:p w14:paraId="4EED13CC">
            <w:pPr>
              <w:widowControl/>
              <w:jc w:val="left"/>
              <w:textAlignment w:val="center"/>
              <w:rPr>
                <w:rFonts w:eastAsia="仿宋_GB2312"/>
                <w:color w:val="000000"/>
                <w:sz w:val="22"/>
                <w:szCs w:val="22"/>
              </w:rPr>
            </w:pPr>
            <w:r>
              <w:rPr>
                <w:rFonts w:eastAsia="仿宋_GB2312"/>
                <w:color w:val="000000"/>
                <w:kern w:val="0"/>
                <w:sz w:val="22"/>
                <w:szCs w:val="22"/>
                <w:lang w:bidi="ar"/>
              </w:rPr>
              <w:t>检验人员教育背景、技术能力和数量应当与产品检验检测工作相匹配，经过与所从事检验检测操作相关的实践培训并考核合格后上岗。</w:t>
            </w:r>
          </w:p>
        </w:tc>
        <w:tc>
          <w:tcPr>
            <w:tcW w:w="407" w:type="pct"/>
            <w:noWrap w:val="0"/>
            <w:vAlign w:val="center"/>
          </w:tcPr>
          <w:p w14:paraId="23A2846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99C3F7B">
            <w:pPr>
              <w:widowControl/>
              <w:jc w:val="center"/>
              <w:textAlignment w:val="center"/>
              <w:rPr>
                <w:rFonts w:eastAsia="仿宋_GB2312"/>
                <w:color w:val="000000"/>
                <w:sz w:val="22"/>
                <w:szCs w:val="22"/>
              </w:rPr>
            </w:pPr>
            <w:r>
              <w:rPr>
                <w:rFonts w:eastAsia="仿宋_GB2312"/>
                <w:color w:val="000000"/>
                <w:kern w:val="0"/>
                <w:sz w:val="22"/>
                <w:szCs w:val="22"/>
                <w:lang w:bidi="ar"/>
              </w:rPr>
              <w:t>《规范》第九十六条</w:t>
            </w:r>
          </w:p>
        </w:tc>
      </w:tr>
      <w:tr w14:paraId="5BBC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41317498">
            <w:pPr>
              <w:jc w:val="center"/>
              <w:rPr>
                <w:rFonts w:eastAsia="仿宋_GB2312"/>
                <w:color w:val="000000"/>
                <w:sz w:val="22"/>
                <w:szCs w:val="22"/>
              </w:rPr>
            </w:pPr>
          </w:p>
        </w:tc>
        <w:tc>
          <w:tcPr>
            <w:tcW w:w="326" w:type="pct"/>
            <w:noWrap w:val="0"/>
            <w:vAlign w:val="center"/>
          </w:tcPr>
          <w:p w14:paraId="38FEE72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148</w:t>
            </w:r>
          </w:p>
        </w:tc>
        <w:tc>
          <w:tcPr>
            <w:tcW w:w="523" w:type="pct"/>
            <w:noWrap w:val="0"/>
            <w:vAlign w:val="center"/>
          </w:tcPr>
          <w:p w14:paraId="1B01FFF2">
            <w:pPr>
              <w:widowControl/>
              <w:jc w:val="center"/>
              <w:textAlignment w:val="center"/>
              <w:rPr>
                <w:rFonts w:eastAsia="仿宋_GB2312"/>
                <w:color w:val="000000"/>
                <w:sz w:val="22"/>
                <w:szCs w:val="22"/>
              </w:rPr>
            </w:pPr>
            <w:r>
              <w:rPr>
                <w:rFonts w:eastAsia="仿宋_GB2312"/>
                <w:color w:val="000000"/>
                <w:kern w:val="0"/>
                <w:sz w:val="22"/>
                <w:szCs w:val="22"/>
                <w:lang w:bidi="ar"/>
              </w:rPr>
              <w:t>11.3.1</w:t>
            </w:r>
          </w:p>
        </w:tc>
        <w:tc>
          <w:tcPr>
            <w:tcW w:w="2496" w:type="pct"/>
            <w:noWrap w:val="0"/>
            <w:vAlign w:val="center"/>
          </w:tcPr>
          <w:p w14:paraId="0536AF98">
            <w:pPr>
              <w:widowControl/>
              <w:jc w:val="left"/>
              <w:textAlignment w:val="center"/>
              <w:rPr>
                <w:rFonts w:eastAsia="仿宋_GB2312"/>
                <w:color w:val="000000"/>
                <w:sz w:val="22"/>
                <w:szCs w:val="22"/>
              </w:rPr>
            </w:pPr>
            <w:r>
              <w:rPr>
                <w:rFonts w:eastAsia="仿宋_GB2312"/>
                <w:color w:val="000000"/>
                <w:kern w:val="0"/>
                <w:sz w:val="22"/>
                <w:szCs w:val="22"/>
                <w:lang w:bidi="ar"/>
              </w:rPr>
              <w:t>企业应当依据法律、法规、规章、强制性标准以及经注册或者备案的产品技术要求，基于风险管理原则和产品质量保证能力等，制定进货检验规程、过程检验规程和成品检验规程等文件。</w:t>
            </w:r>
          </w:p>
        </w:tc>
        <w:tc>
          <w:tcPr>
            <w:tcW w:w="407" w:type="pct"/>
            <w:noWrap w:val="0"/>
            <w:vAlign w:val="center"/>
          </w:tcPr>
          <w:p w14:paraId="0EC8891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28E4146">
            <w:pPr>
              <w:widowControl/>
              <w:jc w:val="center"/>
              <w:textAlignment w:val="center"/>
              <w:rPr>
                <w:rFonts w:eastAsia="仿宋_GB2312"/>
                <w:color w:val="000000"/>
                <w:sz w:val="22"/>
                <w:szCs w:val="22"/>
              </w:rPr>
            </w:pPr>
            <w:r>
              <w:rPr>
                <w:rFonts w:eastAsia="仿宋_GB2312"/>
                <w:color w:val="000000"/>
                <w:kern w:val="0"/>
                <w:sz w:val="22"/>
                <w:szCs w:val="22"/>
                <w:lang w:bidi="ar"/>
              </w:rPr>
              <w:t>《规范》第九十七条</w:t>
            </w:r>
          </w:p>
        </w:tc>
      </w:tr>
      <w:tr w14:paraId="234B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5CFD2A8">
            <w:pPr>
              <w:jc w:val="center"/>
              <w:rPr>
                <w:rFonts w:eastAsia="仿宋_GB2312"/>
                <w:color w:val="000000"/>
                <w:sz w:val="22"/>
                <w:szCs w:val="22"/>
              </w:rPr>
            </w:pPr>
          </w:p>
        </w:tc>
        <w:tc>
          <w:tcPr>
            <w:tcW w:w="326" w:type="pct"/>
            <w:noWrap w:val="0"/>
            <w:vAlign w:val="center"/>
          </w:tcPr>
          <w:p w14:paraId="4CB7562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149</w:t>
            </w:r>
          </w:p>
        </w:tc>
        <w:tc>
          <w:tcPr>
            <w:tcW w:w="523" w:type="pct"/>
            <w:noWrap w:val="0"/>
            <w:vAlign w:val="center"/>
          </w:tcPr>
          <w:p w14:paraId="21CA6D83">
            <w:pPr>
              <w:widowControl/>
              <w:jc w:val="center"/>
              <w:textAlignment w:val="center"/>
              <w:rPr>
                <w:rFonts w:eastAsia="仿宋_GB2312"/>
                <w:color w:val="000000"/>
                <w:sz w:val="22"/>
                <w:szCs w:val="22"/>
              </w:rPr>
            </w:pPr>
            <w:r>
              <w:rPr>
                <w:rFonts w:eastAsia="仿宋_GB2312"/>
                <w:color w:val="000000"/>
                <w:kern w:val="0"/>
                <w:sz w:val="22"/>
                <w:szCs w:val="22"/>
                <w:lang w:bidi="ar"/>
              </w:rPr>
              <w:t>11.3.2</w:t>
            </w:r>
          </w:p>
        </w:tc>
        <w:tc>
          <w:tcPr>
            <w:tcW w:w="2496" w:type="pct"/>
            <w:noWrap w:val="0"/>
            <w:vAlign w:val="center"/>
          </w:tcPr>
          <w:p w14:paraId="548FB329">
            <w:pPr>
              <w:widowControl/>
              <w:jc w:val="left"/>
              <w:textAlignment w:val="center"/>
              <w:rPr>
                <w:rFonts w:eastAsia="仿宋_GB2312"/>
                <w:color w:val="000000"/>
                <w:sz w:val="22"/>
                <w:szCs w:val="22"/>
              </w:rPr>
            </w:pPr>
            <w:r>
              <w:rPr>
                <w:rFonts w:eastAsia="仿宋_GB2312"/>
                <w:color w:val="000000"/>
                <w:kern w:val="0"/>
                <w:sz w:val="22"/>
                <w:szCs w:val="22"/>
                <w:lang w:bidi="ar"/>
              </w:rPr>
              <w:t>检验规程应当覆盖产品技术要求载明的性能指标，不能覆盖的应当予以说明，必要时给出经确认的替代解决方案。</w:t>
            </w:r>
          </w:p>
        </w:tc>
        <w:tc>
          <w:tcPr>
            <w:tcW w:w="407" w:type="pct"/>
            <w:noWrap w:val="0"/>
            <w:vAlign w:val="center"/>
          </w:tcPr>
          <w:p w14:paraId="1B6B68D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1A57BB2">
            <w:pPr>
              <w:widowControl/>
              <w:jc w:val="center"/>
              <w:textAlignment w:val="center"/>
              <w:rPr>
                <w:rFonts w:eastAsia="仿宋_GB2312"/>
                <w:color w:val="000000"/>
                <w:sz w:val="22"/>
                <w:szCs w:val="22"/>
              </w:rPr>
            </w:pPr>
            <w:r>
              <w:rPr>
                <w:rFonts w:eastAsia="仿宋_GB2312"/>
                <w:color w:val="000000"/>
                <w:kern w:val="0"/>
                <w:sz w:val="22"/>
                <w:szCs w:val="22"/>
                <w:lang w:bidi="ar"/>
              </w:rPr>
              <w:t>《规范》第九十七条</w:t>
            </w:r>
          </w:p>
        </w:tc>
      </w:tr>
      <w:tr w14:paraId="3C07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72CB884F">
            <w:pPr>
              <w:jc w:val="center"/>
              <w:rPr>
                <w:rFonts w:eastAsia="仿宋_GB2312"/>
                <w:color w:val="000000"/>
                <w:sz w:val="22"/>
                <w:szCs w:val="22"/>
              </w:rPr>
            </w:pPr>
          </w:p>
        </w:tc>
        <w:tc>
          <w:tcPr>
            <w:tcW w:w="326" w:type="pct"/>
            <w:noWrap w:val="0"/>
            <w:vAlign w:val="center"/>
          </w:tcPr>
          <w:p w14:paraId="1A3106F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150</w:t>
            </w:r>
          </w:p>
        </w:tc>
        <w:tc>
          <w:tcPr>
            <w:tcW w:w="523" w:type="pct"/>
            <w:noWrap w:val="0"/>
            <w:vAlign w:val="center"/>
          </w:tcPr>
          <w:p w14:paraId="469BC2F1">
            <w:pPr>
              <w:widowControl/>
              <w:jc w:val="center"/>
              <w:textAlignment w:val="center"/>
              <w:rPr>
                <w:rFonts w:eastAsia="仿宋_GB2312"/>
                <w:color w:val="000000"/>
                <w:sz w:val="22"/>
                <w:szCs w:val="22"/>
              </w:rPr>
            </w:pPr>
            <w:r>
              <w:rPr>
                <w:rFonts w:eastAsia="仿宋_GB2312"/>
                <w:color w:val="000000"/>
                <w:kern w:val="0"/>
                <w:sz w:val="22"/>
                <w:szCs w:val="22"/>
                <w:lang w:bidi="ar"/>
              </w:rPr>
              <w:t>11.4.1</w:t>
            </w:r>
          </w:p>
        </w:tc>
        <w:tc>
          <w:tcPr>
            <w:tcW w:w="2496" w:type="pct"/>
            <w:noWrap w:val="0"/>
            <w:vAlign w:val="center"/>
          </w:tcPr>
          <w:p w14:paraId="39791B43">
            <w:pPr>
              <w:widowControl/>
              <w:jc w:val="left"/>
              <w:textAlignment w:val="center"/>
              <w:rPr>
                <w:rFonts w:eastAsia="仿宋_GB2312"/>
                <w:color w:val="000000"/>
                <w:sz w:val="22"/>
                <w:szCs w:val="22"/>
              </w:rPr>
            </w:pPr>
            <w:r>
              <w:rPr>
                <w:rFonts w:eastAsia="仿宋_GB2312"/>
                <w:color w:val="000000"/>
                <w:kern w:val="0"/>
                <w:sz w:val="22"/>
                <w:szCs w:val="22"/>
                <w:lang w:bidi="ar"/>
              </w:rPr>
              <w:t>检验方法应当与产品的性能指标相适应。</w:t>
            </w:r>
          </w:p>
        </w:tc>
        <w:tc>
          <w:tcPr>
            <w:tcW w:w="407" w:type="pct"/>
            <w:noWrap w:val="0"/>
            <w:vAlign w:val="center"/>
          </w:tcPr>
          <w:p w14:paraId="0B982A2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60F1E13">
            <w:pPr>
              <w:widowControl/>
              <w:jc w:val="center"/>
              <w:textAlignment w:val="center"/>
              <w:rPr>
                <w:rFonts w:eastAsia="仿宋_GB2312"/>
                <w:color w:val="000000"/>
                <w:sz w:val="22"/>
                <w:szCs w:val="22"/>
              </w:rPr>
            </w:pPr>
            <w:r>
              <w:rPr>
                <w:rFonts w:eastAsia="仿宋_GB2312"/>
                <w:color w:val="000000"/>
                <w:kern w:val="0"/>
                <w:sz w:val="22"/>
                <w:szCs w:val="22"/>
                <w:lang w:bidi="ar"/>
              </w:rPr>
              <w:t>《规范》第九十八条</w:t>
            </w:r>
          </w:p>
        </w:tc>
      </w:tr>
      <w:tr w14:paraId="4CD6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C16E2E5">
            <w:pPr>
              <w:jc w:val="center"/>
              <w:rPr>
                <w:rFonts w:eastAsia="仿宋_GB2312"/>
                <w:color w:val="000000"/>
                <w:sz w:val="22"/>
                <w:szCs w:val="22"/>
              </w:rPr>
            </w:pPr>
          </w:p>
        </w:tc>
        <w:tc>
          <w:tcPr>
            <w:tcW w:w="326" w:type="pct"/>
            <w:noWrap w:val="0"/>
            <w:vAlign w:val="center"/>
          </w:tcPr>
          <w:p w14:paraId="2B9A1F3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151</w:t>
            </w:r>
          </w:p>
        </w:tc>
        <w:tc>
          <w:tcPr>
            <w:tcW w:w="523" w:type="pct"/>
            <w:noWrap w:val="0"/>
            <w:vAlign w:val="center"/>
          </w:tcPr>
          <w:p w14:paraId="1F0F4882">
            <w:pPr>
              <w:widowControl/>
              <w:jc w:val="center"/>
              <w:textAlignment w:val="center"/>
              <w:rPr>
                <w:rFonts w:eastAsia="仿宋_GB2312"/>
                <w:color w:val="000000"/>
                <w:sz w:val="22"/>
                <w:szCs w:val="22"/>
              </w:rPr>
            </w:pPr>
            <w:r>
              <w:rPr>
                <w:rFonts w:eastAsia="仿宋_GB2312"/>
                <w:color w:val="000000"/>
                <w:kern w:val="0"/>
                <w:sz w:val="22"/>
                <w:szCs w:val="22"/>
                <w:lang w:bidi="ar"/>
              </w:rPr>
              <w:t>11.4.2</w:t>
            </w:r>
          </w:p>
        </w:tc>
        <w:tc>
          <w:tcPr>
            <w:tcW w:w="2496" w:type="pct"/>
            <w:noWrap w:val="0"/>
            <w:vAlign w:val="center"/>
          </w:tcPr>
          <w:p w14:paraId="5E38AC29">
            <w:pPr>
              <w:widowControl/>
              <w:jc w:val="left"/>
              <w:textAlignment w:val="center"/>
              <w:rPr>
                <w:rFonts w:eastAsia="仿宋_GB2312"/>
                <w:color w:val="000000"/>
                <w:sz w:val="22"/>
                <w:szCs w:val="22"/>
              </w:rPr>
            </w:pPr>
            <w:r>
              <w:rPr>
                <w:rFonts w:eastAsia="仿宋_GB2312"/>
                <w:color w:val="000000"/>
                <w:kern w:val="0"/>
                <w:sz w:val="22"/>
                <w:szCs w:val="22"/>
                <w:lang w:bidi="ar"/>
              </w:rPr>
              <w:t>对检验工作所需的辅助用品，企业应当根据其控制特点制定管理文件，确保满足检验要求。</w:t>
            </w:r>
          </w:p>
        </w:tc>
        <w:tc>
          <w:tcPr>
            <w:tcW w:w="407" w:type="pct"/>
            <w:noWrap w:val="0"/>
            <w:vAlign w:val="center"/>
          </w:tcPr>
          <w:p w14:paraId="6F29934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A94D1BF">
            <w:pPr>
              <w:widowControl/>
              <w:jc w:val="center"/>
              <w:textAlignment w:val="center"/>
              <w:rPr>
                <w:rFonts w:eastAsia="仿宋_GB2312"/>
                <w:color w:val="000000"/>
                <w:sz w:val="22"/>
                <w:szCs w:val="22"/>
              </w:rPr>
            </w:pPr>
            <w:r>
              <w:rPr>
                <w:rFonts w:eastAsia="仿宋_GB2312"/>
                <w:color w:val="000000"/>
                <w:kern w:val="0"/>
                <w:sz w:val="22"/>
                <w:szCs w:val="22"/>
                <w:lang w:bidi="ar"/>
              </w:rPr>
              <w:t>《规范》第九十八条</w:t>
            </w:r>
          </w:p>
        </w:tc>
      </w:tr>
      <w:tr w14:paraId="2A88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57A20893">
            <w:pPr>
              <w:jc w:val="center"/>
              <w:rPr>
                <w:rFonts w:eastAsia="仿宋_GB2312"/>
                <w:color w:val="000000"/>
                <w:sz w:val="22"/>
                <w:szCs w:val="22"/>
              </w:rPr>
            </w:pPr>
          </w:p>
        </w:tc>
        <w:tc>
          <w:tcPr>
            <w:tcW w:w="326" w:type="pct"/>
            <w:noWrap w:val="0"/>
            <w:vAlign w:val="center"/>
          </w:tcPr>
          <w:p w14:paraId="5B37A47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152</w:t>
            </w:r>
          </w:p>
        </w:tc>
        <w:tc>
          <w:tcPr>
            <w:tcW w:w="523" w:type="pct"/>
            <w:noWrap w:val="0"/>
            <w:vAlign w:val="center"/>
          </w:tcPr>
          <w:p w14:paraId="056FA3EF">
            <w:pPr>
              <w:widowControl/>
              <w:jc w:val="center"/>
              <w:textAlignment w:val="center"/>
              <w:rPr>
                <w:rFonts w:eastAsia="仿宋_GB2312"/>
                <w:color w:val="000000"/>
                <w:sz w:val="22"/>
                <w:szCs w:val="22"/>
              </w:rPr>
            </w:pPr>
            <w:r>
              <w:rPr>
                <w:rFonts w:eastAsia="仿宋_GB2312"/>
                <w:color w:val="000000"/>
                <w:kern w:val="0"/>
                <w:sz w:val="22"/>
                <w:szCs w:val="22"/>
                <w:lang w:bidi="ar"/>
              </w:rPr>
              <w:t>11.5.1</w:t>
            </w:r>
          </w:p>
        </w:tc>
        <w:tc>
          <w:tcPr>
            <w:tcW w:w="2496" w:type="pct"/>
            <w:noWrap w:val="0"/>
            <w:vAlign w:val="center"/>
          </w:tcPr>
          <w:p w14:paraId="2838EAF6">
            <w:pPr>
              <w:widowControl/>
              <w:jc w:val="left"/>
              <w:textAlignment w:val="center"/>
              <w:rPr>
                <w:rFonts w:eastAsia="仿宋_GB2312"/>
                <w:color w:val="000000"/>
                <w:sz w:val="22"/>
                <w:szCs w:val="22"/>
              </w:rPr>
            </w:pPr>
            <w:r>
              <w:rPr>
                <w:rFonts w:eastAsia="仿宋_GB2312"/>
                <w:color w:val="000000"/>
                <w:kern w:val="0"/>
                <w:sz w:val="22"/>
                <w:szCs w:val="22"/>
                <w:lang w:bidi="ar"/>
              </w:rPr>
              <w:t>企业应当按照检验规程开展检验检测活动。</w:t>
            </w:r>
          </w:p>
        </w:tc>
        <w:tc>
          <w:tcPr>
            <w:tcW w:w="407" w:type="pct"/>
            <w:noWrap w:val="0"/>
            <w:vAlign w:val="center"/>
          </w:tcPr>
          <w:p w14:paraId="32BA2028">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7C153D0">
            <w:pPr>
              <w:widowControl/>
              <w:jc w:val="center"/>
              <w:textAlignment w:val="center"/>
              <w:rPr>
                <w:rFonts w:eastAsia="仿宋_GB2312"/>
                <w:color w:val="000000"/>
                <w:sz w:val="22"/>
                <w:szCs w:val="22"/>
              </w:rPr>
            </w:pPr>
            <w:r>
              <w:rPr>
                <w:rFonts w:eastAsia="仿宋_GB2312"/>
                <w:color w:val="000000"/>
                <w:kern w:val="0"/>
                <w:sz w:val="22"/>
                <w:szCs w:val="22"/>
                <w:lang w:bidi="ar"/>
              </w:rPr>
              <w:t>《规范》第一百条</w:t>
            </w:r>
          </w:p>
        </w:tc>
      </w:tr>
      <w:tr w14:paraId="787D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04E5D3AB">
            <w:pPr>
              <w:jc w:val="center"/>
              <w:rPr>
                <w:rFonts w:eastAsia="仿宋_GB2312"/>
                <w:color w:val="000000"/>
                <w:sz w:val="22"/>
                <w:szCs w:val="22"/>
              </w:rPr>
            </w:pPr>
          </w:p>
        </w:tc>
        <w:tc>
          <w:tcPr>
            <w:tcW w:w="326" w:type="pct"/>
            <w:noWrap w:val="0"/>
            <w:vAlign w:val="center"/>
          </w:tcPr>
          <w:p w14:paraId="2E6B2D8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153</w:t>
            </w:r>
          </w:p>
        </w:tc>
        <w:tc>
          <w:tcPr>
            <w:tcW w:w="523" w:type="pct"/>
            <w:noWrap w:val="0"/>
            <w:vAlign w:val="center"/>
          </w:tcPr>
          <w:p w14:paraId="6AE25941">
            <w:pPr>
              <w:widowControl/>
              <w:jc w:val="center"/>
              <w:textAlignment w:val="center"/>
              <w:rPr>
                <w:rFonts w:eastAsia="仿宋_GB2312"/>
                <w:color w:val="000000"/>
                <w:sz w:val="22"/>
                <w:szCs w:val="22"/>
              </w:rPr>
            </w:pPr>
            <w:r>
              <w:rPr>
                <w:rFonts w:eastAsia="仿宋_GB2312"/>
                <w:color w:val="000000"/>
                <w:kern w:val="0"/>
                <w:sz w:val="22"/>
                <w:szCs w:val="22"/>
                <w:lang w:bidi="ar"/>
              </w:rPr>
              <w:t>11.5.2</w:t>
            </w:r>
          </w:p>
        </w:tc>
        <w:tc>
          <w:tcPr>
            <w:tcW w:w="2496" w:type="pct"/>
            <w:noWrap w:val="0"/>
            <w:vAlign w:val="center"/>
          </w:tcPr>
          <w:p w14:paraId="17B92B0E">
            <w:pPr>
              <w:widowControl/>
              <w:jc w:val="left"/>
              <w:textAlignment w:val="center"/>
              <w:rPr>
                <w:rFonts w:eastAsia="仿宋_GB2312"/>
                <w:color w:val="000000"/>
                <w:sz w:val="22"/>
                <w:szCs w:val="22"/>
              </w:rPr>
            </w:pPr>
            <w:r>
              <w:rPr>
                <w:rFonts w:eastAsia="仿宋_GB2312"/>
                <w:color w:val="000000"/>
                <w:kern w:val="0"/>
                <w:sz w:val="22"/>
                <w:szCs w:val="22"/>
                <w:lang w:bidi="ar"/>
              </w:rPr>
              <w:t>每批产品均应当有检验记录，并满足追溯要求。</w:t>
            </w:r>
          </w:p>
        </w:tc>
        <w:tc>
          <w:tcPr>
            <w:tcW w:w="407" w:type="pct"/>
            <w:noWrap w:val="0"/>
            <w:vAlign w:val="center"/>
          </w:tcPr>
          <w:p w14:paraId="44E0B45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9E62419">
            <w:pPr>
              <w:widowControl/>
              <w:jc w:val="center"/>
              <w:textAlignment w:val="center"/>
              <w:rPr>
                <w:rFonts w:eastAsia="仿宋_GB2312"/>
                <w:color w:val="000000"/>
                <w:sz w:val="22"/>
                <w:szCs w:val="22"/>
              </w:rPr>
            </w:pPr>
            <w:r>
              <w:rPr>
                <w:rFonts w:eastAsia="仿宋_GB2312"/>
                <w:color w:val="000000"/>
                <w:kern w:val="0"/>
                <w:sz w:val="22"/>
                <w:szCs w:val="22"/>
                <w:lang w:bidi="ar"/>
              </w:rPr>
              <w:t>《规范》第一百条</w:t>
            </w:r>
          </w:p>
        </w:tc>
      </w:tr>
      <w:tr w14:paraId="2181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52AD6CBF">
            <w:pPr>
              <w:jc w:val="center"/>
              <w:rPr>
                <w:rFonts w:eastAsia="仿宋_GB2312"/>
                <w:color w:val="000000"/>
                <w:sz w:val="22"/>
                <w:szCs w:val="22"/>
              </w:rPr>
            </w:pPr>
          </w:p>
        </w:tc>
        <w:tc>
          <w:tcPr>
            <w:tcW w:w="326" w:type="pct"/>
            <w:noWrap w:val="0"/>
            <w:vAlign w:val="center"/>
          </w:tcPr>
          <w:p w14:paraId="02AB2E7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154</w:t>
            </w:r>
          </w:p>
        </w:tc>
        <w:tc>
          <w:tcPr>
            <w:tcW w:w="523" w:type="pct"/>
            <w:noWrap w:val="0"/>
            <w:vAlign w:val="center"/>
          </w:tcPr>
          <w:p w14:paraId="6480654A">
            <w:pPr>
              <w:widowControl/>
              <w:jc w:val="center"/>
              <w:textAlignment w:val="center"/>
              <w:rPr>
                <w:rFonts w:eastAsia="仿宋_GB2312"/>
                <w:color w:val="000000"/>
                <w:sz w:val="22"/>
                <w:szCs w:val="22"/>
              </w:rPr>
            </w:pPr>
            <w:r>
              <w:rPr>
                <w:rFonts w:eastAsia="仿宋_GB2312"/>
                <w:color w:val="000000"/>
                <w:kern w:val="0"/>
                <w:sz w:val="22"/>
                <w:szCs w:val="22"/>
                <w:lang w:bidi="ar"/>
              </w:rPr>
              <w:t>11.5.3</w:t>
            </w:r>
          </w:p>
        </w:tc>
        <w:tc>
          <w:tcPr>
            <w:tcW w:w="2496" w:type="pct"/>
            <w:noWrap w:val="0"/>
            <w:vAlign w:val="center"/>
          </w:tcPr>
          <w:p w14:paraId="4FA007C1">
            <w:pPr>
              <w:widowControl/>
              <w:jc w:val="left"/>
              <w:textAlignment w:val="center"/>
              <w:rPr>
                <w:rFonts w:eastAsia="仿宋_GB2312"/>
                <w:color w:val="000000"/>
                <w:sz w:val="22"/>
                <w:szCs w:val="22"/>
              </w:rPr>
            </w:pPr>
            <w:r>
              <w:rPr>
                <w:rFonts w:eastAsia="仿宋_GB2312"/>
                <w:color w:val="000000"/>
                <w:kern w:val="0"/>
                <w:sz w:val="22"/>
                <w:szCs w:val="22"/>
                <w:lang w:bidi="ar"/>
              </w:rPr>
              <w:t>检验记录应当包括进货检验、过程检验和成品检验记录、报告或者证书，内容至少包括产品或者原材料信息、检验项目、检验设备、检验结果、检验日期、检验人员、复核人员等。</w:t>
            </w:r>
          </w:p>
        </w:tc>
        <w:tc>
          <w:tcPr>
            <w:tcW w:w="407" w:type="pct"/>
            <w:noWrap w:val="0"/>
            <w:vAlign w:val="center"/>
          </w:tcPr>
          <w:p w14:paraId="7887893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B5E1CF8">
            <w:pPr>
              <w:widowControl/>
              <w:jc w:val="center"/>
              <w:textAlignment w:val="center"/>
              <w:rPr>
                <w:rFonts w:eastAsia="仿宋_GB2312"/>
                <w:color w:val="000000"/>
                <w:sz w:val="22"/>
                <w:szCs w:val="22"/>
              </w:rPr>
            </w:pPr>
            <w:r>
              <w:rPr>
                <w:rFonts w:eastAsia="仿宋_GB2312"/>
                <w:color w:val="000000"/>
                <w:kern w:val="0"/>
                <w:sz w:val="22"/>
                <w:szCs w:val="22"/>
                <w:lang w:bidi="ar"/>
              </w:rPr>
              <w:t>《规范》第一百条</w:t>
            </w:r>
          </w:p>
        </w:tc>
      </w:tr>
      <w:tr w14:paraId="5CA4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jc w:val="center"/>
        </w:trPr>
        <w:tc>
          <w:tcPr>
            <w:tcW w:w="589" w:type="pct"/>
            <w:vMerge w:val="continue"/>
            <w:noWrap w:val="0"/>
            <w:vAlign w:val="center"/>
          </w:tcPr>
          <w:p w14:paraId="26E0D6D3">
            <w:pPr>
              <w:jc w:val="center"/>
              <w:rPr>
                <w:rFonts w:eastAsia="仿宋_GB2312"/>
                <w:color w:val="000000"/>
                <w:sz w:val="22"/>
                <w:szCs w:val="22"/>
              </w:rPr>
            </w:pPr>
          </w:p>
        </w:tc>
        <w:tc>
          <w:tcPr>
            <w:tcW w:w="326" w:type="pct"/>
            <w:noWrap w:val="0"/>
            <w:vAlign w:val="center"/>
          </w:tcPr>
          <w:p w14:paraId="1B278CE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155</w:t>
            </w:r>
          </w:p>
        </w:tc>
        <w:tc>
          <w:tcPr>
            <w:tcW w:w="523" w:type="pct"/>
            <w:noWrap w:val="0"/>
            <w:vAlign w:val="center"/>
          </w:tcPr>
          <w:p w14:paraId="3FF68D0F">
            <w:pPr>
              <w:widowControl/>
              <w:jc w:val="center"/>
              <w:textAlignment w:val="center"/>
              <w:rPr>
                <w:rFonts w:eastAsia="仿宋_GB2312"/>
                <w:color w:val="000000"/>
                <w:sz w:val="22"/>
                <w:szCs w:val="22"/>
              </w:rPr>
            </w:pPr>
            <w:r>
              <w:rPr>
                <w:rFonts w:eastAsia="仿宋_GB2312"/>
                <w:color w:val="000000"/>
                <w:kern w:val="0"/>
                <w:sz w:val="22"/>
                <w:szCs w:val="22"/>
                <w:lang w:bidi="ar"/>
              </w:rPr>
              <w:t>11.6.1</w:t>
            </w:r>
          </w:p>
        </w:tc>
        <w:tc>
          <w:tcPr>
            <w:tcW w:w="2496" w:type="pct"/>
            <w:noWrap w:val="0"/>
            <w:vAlign w:val="center"/>
          </w:tcPr>
          <w:p w14:paraId="4B50CCE0">
            <w:pPr>
              <w:widowControl/>
              <w:jc w:val="left"/>
              <w:textAlignment w:val="center"/>
              <w:rPr>
                <w:rFonts w:eastAsia="仿宋_GB2312"/>
                <w:color w:val="000000"/>
                <w:sz w:val="22"/>
                <w:szCs w:val="22"/>
              </w:rPr>
            </w:pPr>
            <w:r>
              <w:rPr>
                <w:rFonts w:eastAsia="仿宋_GB2312"/>
                <w:color w:val="000000"/>
                <w:kern w:val="0"/>
                <w:sz w:val="22"/>
                <w:szCs w:val="22"/>
                <w:lang w:bidi="ar"/>
              </w:rPr>
              <w:t>检验设备管理至少包括下列内容：</w:t>
            </w:r>
            <w:r>
              <w:rPr>
                <w:rFonts w:eastAsia="仿宋_GB2312"/>
                <w:color w:val="000000"/>
                <w:kern w:val="0"/>
                <w:sz w:val="22"/>
                <w:szCs w:val="22"/>
                <w:lang w:bidi="ar"/>
              </w:rPr>
              <w:br w:type="textWrapping"/>
            </w:r>
            <w:r>
              <w:rPr>
                <w:rFonts w:eastAsia="仿宋_GB2312"/>
                <w:color w:val="000000"/>
                <w:kern w:val="0"/>
                <w:sz w:val="22"/>
                <w:szCs w:val="22"/>
                <w:lang w:bidi="ar"/>
              </w:rPr>
              <w:t>（一）检验设备经过校准或者检定，结果经过确认；</w:t>
            </w:r>
            <w:r>
              <w:rPr>
                <w:rFonts w:eastAsia="仿宋_GB2312"/>
                <w:color w:val="000000"/>
                <w:kern w:val="0"/>
                <w:sz w:val="22"/>
                <w:szCs w:val="22"/>
                <w:lang w:bidi="ar"/>
              </w:rPr>
              <w:br w:type="textWrapping"/>
            </w:r>
            <w:r>
              <w:rPr>
                <w:rFonts w:eastAsia="仿宋_GB2312"/>
                <w:color w:val="000000"/>
                <w:kern w:val="0"/>
                <w:sz w:val="22"/>
                <w:szCs w:val="22"/>
                <w:lang w:bidi="ar"/>
              </w:rPr>
              <w:t>（二）明确检验设备搬运、储存、维护和维修等要求；</w:t>
            </w:r>
            <w:r>
              <w:rPr>
                <w:rFonts w:eastAsia="仿宋_GB2312"/>
                <w:color w:val="000000"/>
                <w:kern w:val="0"/>
                <w:sz w:val="22"/>
                <w:szCs w:val="22"/>
                <w:lang w:bidi="ar"/>
              </w:rPr>
              <w:br w:type="textWrapping"/>
            </w:r>
            <w:r>
              <w:rPr>
                <w:rFonts w:eastAsia="仿宋_GB2312"/>
                <w:color w:val="000000"/>
                <w:kern w:val="0"/>
                <w:sz w:val="22"/>
                <w:szCs w:val="22"/>
                <w:lang w:bidi="ar"/>
              </w:rPr>
              <w:t>（三）检验设备不符合要求时，应当立即停止使用，并对以往检验结果进行评价。必要时，采取相应措施并保留记录。</w:t>
            </w:r>
          </w:p>
        </w:tc>
        <w:tc>
          <w:tcPr>
            <w:tcW w:w="407" w:type="pct"/>
            <w:noWrap w:val="0"/>
            <w:vAlign w:val="center"/>
          </w:tcPr>
          <w:p w14:paraId="327E9FC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D2C2CDE">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《规范》第一百零一条</w:t>
            </w:r>
          </w:p>
        </w:tc>
      </w:tr>
      <w:tr w14:paraId="1D1F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69B221CE">
            <w:pPr>
              <w:jc w:val="center"/>
              <w:rPr>
                <w:rFonts w:eastAsia="仿宋_GB2312"/>
                <w:color w:val="000000"/>
                <w:sz w:val="22"/>
                <w:szCs w:val="22"/>
              </w:rPr>
            </w:pPr>
          </w:p>
        </w:tc>
        <w:tc>
          <w:tcPr>
            <w:tcW w:w="326" w:type="pct"/>
            <w:noWrap w:val="0"/>
            <w:vAlign w:val="center"/>
          </w:tcPr>
          <w:p w14:paraId="5E99F21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156</w:t>
            </w:r>
          </w:p>
        </w:tc>
        <w:tc>
          <w:tcPr>
            <w:tcW w:w="523" w:type="pct"/>
            <w:noWrap w:val="0"/>
            <w:vAlign w:val="center"/>
          </w:tcPr>
          <w:p w14:paraId="755DC386">
            <w:pPr>
              <w:widowControl/>
              <w:jc w:val="center"/>
              <w:textAlignment w:val="center"/>
              <w:rPr>
                <w:rFonts w:eastAsia="仿宋_GB2312"/>
                <w:color w:val="000000"/>
                <w:sz w:val="22"/>
                <w:szCs w:val="22"/>
              </w:rPr>
            </w:pPr>
            <w:r>
              <w:rPr>
                <w:rFonts w:eastAsia="仿宋_GB2312"/>
                <w:color w:val="000000"/>
                <w:kern w:val="0"/>
                <w:sz w:val="22"/>
                <w:szCs w:val="22"/>
                <w:lang w:bidi="ar"/>
              </w:rPr>
              <w:t>11.7.1</w:t>
            </w:r>
          </w:p>
        </w:tc>
        <w:tc>
          <w:tcPr>
            <w:tcW w:w="2496" w:type="pct"/>
            <w:noWrap w:val="0"/>
            <w:vAlign w:val="center"/>
          </w:tcPr>
          <w:p w14:paraId="4F34DC94">
            <w:pPr>
              <w:widowControl/>
              <w:jc w:val="left"/>
              <w:textAlignment w:val="center"/>
              <w:rPr>
                <w:rFonts w:eastAsia="仿宋_GB2312"/>
                <w:color w:val="000000"/>
                <w:sz w:val="22"/>
                <w:szCs w:val="22"/>
              </w:rPr>
            </w:pPr>
            <w:r>
              <w:rPr>
                <w:rFonts w:eastAsia="仿宋_GB2312"/>
                <w:color w:val="000000"/>
                <w:kern w:val="0"/>
                <w:sz w:val="22"/>
                <w:szCs w:val="22"/>
                <w:lang w:bidi="ar"/>
              </w:rPr>
              <w:t>企业应当根据产品特性制定检验结果不合格调查处理规程。</w:t>
            </w:r>
          </w:p>
        </w:tc>
        <w:tc>
          <w:tcPr>
            <w:tcW w:w="407" w:type="pct"/>
            <w:noWrap w:val="0"/>
            <w:vAlign w:val="center"/>
          </w:tcPr>
          <w:p w14:paraId="3A9AE35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AB8B913">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《规范》第一百零三条</w:t>
            </w:r>
          </w:p>
        </w:tc>
      </w:tr>
      <w:tr w14:paraId="3D05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3A192FE6">
            <w:pPr>
              <w:jc w:val="center"/>
              <w:rPr>
                <w:rFonts w:eastAsia="仿宋_GB2312"/>
                <w:color w:val="000000"/>
                <w:sz w:val="22"/>
                <w:szCs w:val="22"/>
              </w:rPr>
            </w:pPr>
          </w:p>
        </w:tc>
        <w:tc>
          <w:tcPr>
            <w:tcW w:w="326" w:type="pct"/>
            <w:noWrap w:val="0"/>
            <w:vAlign w:val="center"/>
          </w:tcPr>
          <w:p w14:paraId="16FD9B1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157</w:t>
            </w:r>
          </w:p>
        </w:tc>
        <w:tc>
          <w:tcPr>
            <w:tcW w:w="523" w:type="pct"/>
            <w:noWrap w:val="0"/>
            <w:vAlign w:val="center"/>
          </w:tcPr>
          <w:p w14:paraId="2DB74310">
            <w:pPr>
              <w:widowControl/>
              <w:jc w:val="center"/>
              <w:textAlignment w:val="center"/>
              <w:rPr>
                <w:rFonts w:eastAsia="仿宋_GB2312"/>
                <w:color w:val="000000"/>
                <w:sz w:val="22"/>
                <w:szCs w:val="22"/>
              </w:rPr>
            </w:pPr>
            <w:r>
              <w:rPr>
                <w:rFonts w:eastAsia="仿宋_GB2312"/>
                <w:color w:val="000000"/>
                <w:kern w:val="0"/>
                <w:sz w:val="22"/>
                <w:szCs w:val="22"/>
                <w:lang w:bidi="ar"/>
              </w:rPr>
              <w:t>11.7.2</w:t>
            </w:r>
          </w:p>
        </w:tc>
        <w:tc>
          <w:tcPr>
            <w:tcW w:w="2496" w:type="pct"/>
            <w:noWrap w:val="0"/>
            <w:vAlign w:val="center"/>
          </w:tcPr>
          <w:p w14:paraId="54584C61">
            <w:pPr>
              <w:widowControl/>
              <w:jc w:val="left"/>
              <w:textAlignment w:val="center"/>
              <w:rPr>
                <w:rFonts w:eastAsia="仿宋_GB2312"/>
                <w:color w:val="000000"/>
                <w:sz w:val="22"/>
                <w:szCs w:val="22"/>
              </w:rPr>
            </w:pPr>
            <w:r>
              <w:rPr>
                <w:rFonts w:eastAsia="仿宋_GB2312"/>
                <w:color w:val="000000"/>
                <w:kern w:val="0"/>
                <w:sz w:val="22"/>
                <w:szCs w:val="22"/>
                <w:lang w:bidi="ar"/>
              </w:rPr>
              <w:t>任何检验不合格均应当进行调查处理，并保留记录。</w:t>
            </w:r>
          </w:p>
        </w:tc>
        <w:tc>
          <w:tcPr>
            <w:tcW w:w="407" w:type="pct"/>
            <w:noWrap w:val="0"/>
            <w:vAlign w:val="center"/>
          </w:tcPr>
          <w:p w14:paraId="7D6B71E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AAE12E6">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《规范》第一百零三条</w:t>
            </w:r>
          </w:p>
        </w:tc>
      </w:tr>
      <w:tr w14:paraId="564B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7E5F37BE">
            <w:pPr>
              <w:jc w:val="center"/>
              <w:rPr>
                <w:rFonts w:eastAsia="仿宋_GB2312"/>
                <w:color w:val="000000"/>
                <w:sz w:val="22"/>
                <w:szCs w:val="22"/>
              </w:rPr>
            </w:pPr>
          </w:p>
        </w:tc>
        <w:tc>
          <w:tcPr>
            <w:tcW w:w="326" w:type="pct"/>
            <w:noWrap w:val="0"/>
            <w:vAlign w:val="center"/>
          </w:tcPr>
          <w:p w14:paraId="620D973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158</w:t>
            </w:r>
          </w:p>
        </w:tc>
        <w:tc>
          <w:tcPr>
            <w:tcW w:w="523" w:type="pct"/>
            <w:noWrap w:val="0"/>
            <w:vAlign w:val="center"/>
          </w:tcPr>
          <w:p w14:paraId="36224911">
            <w:pPr>
              <w:widowControl/>
              <w:jc w:val="center"/>
              <w:textAlignment w:val="center"/>
              <w:rPr>
                <w:rFonts w:eastAsia="仿宋_GB2312"/>
                <w:color w:val="000000"/>
                <w:sz w:val="22"/>
                <w:szCs w:val="22"/>
              </w:rPr>
            </w:pPr>
            <w:r>
              <w:rPr>
                <w:rFonts w:eastAsia="仿宋_GB2312"/>
                <w:color w:val="000000"/>
                <w:kern w:val="0"/>
                <w:sz w:val="22"/>
                <w:szCs w:val="22"/>
                <w:lang w:bidi="ar"/>
              </w:rPr>
              <w:t>11.7.3</w:t>
            </w:r>
          </w:p>
        </w:tc>
        <w:tc>
          <w:tcPr>
            <w:tcW w:w="2496" w:type="pct"/>
            <w:noWrap w:val="0"/>
            <w:vAlign w:val="center"/>
          </w:tcPr>
          <w:p w14:paraId="25C194B9">
            <w:pPr>
              <w:widowControl/>
              <w:jc w:val="left"/>
              <w:textAlignment w:val="center"/>
              <w:rPr>
                <w:rFonts w:eastAsia="仿宋_GB2312"/>
                <w:color w:val="000000"/>
                <w:sz w:val="22"/>
                <w:szCs w:val="22"/>
              </w:rPr>
            </w:pPr>
            <w:r>
              <w:rPr>
                <w:rFonts w:eastAsia="仿宋_GB2312"/>
                <w:color w:val="000000"/>
                <w:kern w:val="0"/>
                <w:sz w:val="22"/>
                <w:szCs w:val="22"/>
                <w:lang w:bidi="ar"/>
              </w:rPr>
              <w:t>对检验过程偏差造成的不合格，可以进行复检。</w:t>
            </w:r>
          </w:p>
        </w:tc>
        <w:tc>
          <w:tcPr>
            <w:tcW w:w="407" w:type="pct"/>
            <w:noWrap w:val="0"/>
            <w:vAlign w:val="center"/>
          </w:tcPr>
          <w:p w14:paraId="55DA02E8">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7E129F1">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《规范》第一百零三条</w:t>
            </w:r>
          </w:p>
        </w:tc>
      </w:tr>
      <w:tr w14:paraId="474D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3" w:hRule="atLeast"/>
          <w:jc w:val="center"/>
        </w:trPr>
        <w:tc>
          <w:tcPr>
            <w:tcW w:w="589" w:type="pct"/>
            <w:vMerge w:val="continue"/>
            <w:noWrap w:val="0"/>
            <w:vAlign w:val="center"/>
          </w:tcPr>
          <w:p w14:paraId="111D8797">
            <w:pPr>
              <w:jc w:val="center"/>
              <w:rPr>
                <w:rFonts w:eastAsia="仿宋_GB2312"/>
                <w:color w:val="000000"/>
                <w:sz w:val="22"/>
                <w:szCs w:val="22"/>
              </w:rPr>
            </w:pPr>
          </w:p>
        </w:tc>
        <w:tc>
          <w:tcPr>
            <w:tcW w:w="326" w:type="pct"/>
            <w:noWrap w:val="0"/>
            <w:vAlign w:val="center"/>
          </w:tcPr>
          <w:p w14:paraId="0154494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159</w:t>
            </w:r>
          </w:p>
        </w:tc>
        <w:tc>
          <w:tcPr>
            <w:tcW w:w="523" w:type="pct"/>
            <w:noWrap w:val="0"/>
            <w:vAlign w:val="center"/>
          </w:tcPr>
          <w:p w14:paraId="74B61834">
            <w:pPr>
              <w:widowControl/>
              <w:jc w:val="center"/>
              <w:textAlignment w:val="center"/>
              <w:rPr>
                <w:rFonts w:eastAsia="仿宋_GB2312"/>
                <w:color w:val="000000"/>
                <w:sz w:val="22"/>
                <w:szCs w:val="22"/>
              </w:rPr>
            </w:pPr>
            <w:r>
              <w:rPr>
                <w:rFonts w:eastAsia="仿宋_GB2312"/>
                <w:color w:val="000000"/>
                <w:kern w:val="0"/>
                <w:sz w:val="22"/>
                <w:szCs w:val="22"/>
                <w:lang w:bidi="ar"/>
              </w:rPr>
              <w:t>11.8.1</w:t>
            </w:r>
          </w:p>
        </w:tc>
        <w:tc>
          <w:tcPr>
            <w:tcW w:w="2496" w:type="pct"/>
            <w:noWrap w:val="0"/>
            <w:vAlign w:val="center"/>
          </w:tcPr>
          <w:p w14:paraId="1D903431">
            <w:pPr>
              <w:widowControl/>
              <w:spacing w:line="280" w:lineRule="exact"/>
              <w:jc w:val="left"/>
              <w:textAlignment w:val="center"/>
              <w:rPr>
                <w:rFonts w:eastAsia="仿宋_GB2312"/>
                <w:color w:val="000000"/>
                <w:sz w:val="22"/>
                <w:szCs w:val="22"/>
              </w:rPr>
            </w:pPr>
            <w:r>
              <w:rPr>
                <w:rFonts w:eastAsia="仿宋_GB2312"/>
                <w:color w:val="000000"/>
                <w:kern w:val="0"/>
                <w:sz w:val="22"/>
                <w:szCs w:val="22"/>
                <w:lang w:bidi="ar"/>
              </w:rPr>
              <w:t>企业应当建立产品放行工作程序，明确软件版本识别、安装卸载测试、产品完整性检查、产品放行条件、审核和批准要求等。确认产品至少符合下列条件后，经授权的放行人员按照规定签发产品放行单：</w:t>
            </w:r>
            <w:r>
              <w:rPr>
                <w:rStyle w:val="4"/>
                <w:rFonts w:hint="default" w:ascii="Times New Roman" w:hAnsi="Times New Roman" w:cs="Times New Roman"/>
                <w:sz w:val="22"/>
                <w:szCs w:val="22"/>
                <w:lang w:bidi="ar"/>
              </w:rPr>
              <w:br w:type="textWrapping"/>
            </w:r>
            <w:r>
              <w:rPr>
                <w:rFonts w:eastAsia="仿宋_GB2312"/>
                <w:kern w:val="0"/>
                <w:sz w:val="22"/>
                <w:szCs w:val="22"/>
              </w:rPr>
              <w:t>（一）完成所有规定的工艺流程；</w:t>
            </w:r>
            <w:r>
              <w:rPr>
                <w:rFonts w:eastAsia="仿宋_GB2312"/>
                <w:kern w:val="0"/>
                <w:sz w:val="22"/>
                <w:szCs w:val="22"/>
              </w:rPr>
              <w:br w:type="textWrapping"/>
            </w:r>
            <w:r>
              <w:rPr>
                <w:rFonts w:eastAsia="仿宋_GB2312"/>
                <w:kern w:val="0"/>
                <w:sz w:val="22"/>
                <w:szCs w:val="22"/>
              </w:rPr>
              <w:t>（二）批生产记录完整齐全；</w:t>
            </w:r>
            <w:r>
              <w:rPr>
                <w:rFonts w:eastAsia="仿宋_GB2312"/>
                <w:kern w:val="0"/>
                <w:sz w:val="22"/>
                <w:szCs w:val="22"/>
              </w:rPr>
              <w:br w:type="textWrapping"/>
            </w:r>
            <w:r>
              <w:rPr>
                <w:rFonts w:eastAsia="仿宋_GB2312"/>
                <w:kern w:val="0"/>
                <w:sz w:val="22"/>
                <w:szCs w:val="22"/>
              </w:rPr>
              <w:t>（三）质量控制记录完整齐全，结果符合规定要求，已按照规定签发记录；</w:t>
            </w:r>
            <w:r>
              <w:rPr>
                <w:rFonts w:eastAsia="仿宋_GB2312"/>
                <w:kern w:val="0"/>
                <w:sz w:val="22"/>
                <w:szCs w:val="22"/>
              </w:rPr>
              <w:br w:type="textWrapping"/>
            </w:r>
            <w:r>
              <w:rPr>
                <w:rFonts w:eastAsia="仿宋_GB2312"/>
                <w:kern w:val="0"/>
                <w:sz w:val="22"/>
                <w:szCs w:val="22"/>
              </w:rPr>
              <w:t>（四）</w:t>
            </w:r>
            <w:bookmarkStart w:id="0" w:name="_GoBack"/>
            <w:bookmarkEnd w:id="0"/>
            <w:r>
              <w:rPr>
                <w:rFonts w:eastAsia="仿宋_GB2312"/>
                <w:kern w:val="0"/>
                <w:sz w:val="22"/>
                <w:szCs w:val="22"/>
              </w:rPr>
              <w:t>产品生产过程中出现的不合格情况已经按照规定处理完毕；</w:t>
            </w:r>
            <w:r>
              <w:rPr>
                <w:rFonts w:eastAsia="仿宋_GB2312"/>
                <w:kern w:val="0"/>
                <w:sz w:val="22"/>
                <w:szCs w:val="22"/>
              </w:rPr>
              <w:br w:type="textWrapping"/>
            </w:r>
            <w:r>
              <w:rPr>
                <w:rFonts w:eastAsia="仿宋_GB2312"/>
                <w:kern w:val="0"/>
                <w:sz w:val="22"/>
                <w:szCs w:val="22"/>
              </w:rPr>
              <w:t>（五）产品说明书、标签及其版本、医疗器械唯一标识赋码符合规定要求。</w:t>
            </w:r>
          </w:p>
        </w:tc>
        <w:tc>
          <w:tcPr>
            <w:tcW w:w="407" w:type="pct"/>
            <w:noWrap w:val="0"/>
            <w:vAlign w:val="center"/>
          </w:tcPr>
          <w:p w14:paraId="53A4D458">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BC14AEA">
            <w:pPr>
              <w:widowControl/>
              <w:jc w:val="center"/>
              <w:textAlignment w:val="center"/>
              <w:rPr>
                <w:rFonts w:eastAsia="仿宋_GB2312"/>
                <w:color w:val="000000"/>
                <w:sz w:val="22"/>
                <w:szCs w:val="22"/>
              </w:rPr>
            </w:pPr>
            <w:r>
              <w:rPr>
                <w:rFonts w:eastAsia="仿宋_GB2312"/>
                <w:color w:val="000000"/>
                <w:kern w:val="0"/>
                <w:sz w:val="22"/>
                <w:szCs w:val="22"/>
                <w:lang w:bidi="ar"/>
              </w:rPr>
              <w:t xml:space="preserve">《规范》第一百零四条, </w:t>
            </w:r>
            <w:r>
              <w:rPr>
                <w:rFonts w:eastAsia="仿宋_GB2312"/>
                <w:color w:val="000000"/>
                <w:kern w:val="0"/>
                <w:sz w:val="22"/>
                <w:szCs w:val="22"/>
                <w:lang w:bidi="ar"/>
              </w:rPr>
              <w:br w:type="textWrapping"/>
            </w:r>
            <w:r>
              <w:rPr>
                <w:rFonts w:eastAsia="仿宋_GB2312"/>
                <w:color w:val="000000"/>
                <w:kern w:val="0"/>
                <w:sz w:val="22"/>
                <w:szCs w:val="22"/>
                <w:lang w:bidi="ar"/>
              </w:rPr>
              <w:t>《独立软件附录》2.6.1</w:t>
            </w:r>
          </w:p>
        </w:tc>
      </w:tr>
      <w:tr w14:paraId="51FC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589" w:type="pct"/>
            <w:vMerge w:val="continue"/>
            <w:noWrap w:val="0"/>
            <w:vAlign w:val="center"/>
          </w:tcPr>
          <w:p w14:paraId="1C27EC22">
            <w:pPr>
              <w:jc w:val="center"/>
              <w:rPr>
                <w:rFonts w:eastAsia="仿宋_GB2312"/>
                <w:color w:val="000000"/>
                <w:sz w:val="22"/>
                <w:szCs w:val="22"/>
              </w:rPr>
            </w:pPr>
          </w:p>
        </w:tc>
        <w:tc>
          <w:tcPr>
            <w:tcW w:w="326" w:type="pct"/>
            <w:noWrap w:val="0"/>
            <w:vAlign w:val="center"/>
          </w:tcPr>
          <w:p w14:paraId="706F675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160</w:t>
            </w:r>
          </w:p>
        </w:tc>
        <w:tc>
          <w:tcPr>
            <w:tcW w:w="523" w:type="pct"/>
            <w:noWrap w:val="0"/>
            <w:vAlign w:val="center"/>
          </w:tcPr>
          <w:p w14:paraId="2036A993">
            <w:pPr>
              <w:widowControl/>
              <w:jc w:val="center"/>
              <w:textAlignment w:val="center"/>
              <w:rPr>
                <w:rFonts w:eastAsia="仿宋_GB2312"/>
                <w:color w:val="000000"/>
                <w:sz w:val="22"/>
                <w:szCs w:val="22"/>
              </w:rPr>
            </w:pPr>
            <w:r>
              <w:rPr>
                <w:rFonts w:eastAsia="仿宋_GB2312"/>
                <w:color w:val="000000"/>
                <w:kern w:val="0"/>
                <w:sz w:val="22"/>
                <w:szCs w:val="22"/>
                <w:lang w:bidi="ar"/>
              </w:rPr>
              <w:t>11.8.2</w:t>
            </w:r>
          </w:p>
        </w:tc>
        <w:tc>
          <w:tcPr>
            <w:tcW w:w="2496" w:type="pct"/>
            <w:noWrap w:val="0"/>
            <w:vAlign w:val="center"/>
          </w:tcPr>
          <w:p w14:paraId="441A7C2A">
            <w:pPr>
              <w:widowControl/>
              <w:jc w:val="left"/>
              <w:textAlignment w:val="center"/>
              <w:rPr>
                <w:rFonts w:eastAsia="仿宋_GB2312"/>
                <w:color w:val="000000"/>
                <w:sz w:val="22"/>
                <w:szCs w:val="22"/>
              </w:rPr>
            </w:pPr>
            <w:r>
              <w:rPr>
                <w:rFonts w:eastAsia="仿宋_GB2312"/>
                <w:color w:val="000000"/>
                <w:kern w:val="0"/>
                <w:sz w:val="22"/>
                <w:szCs w:val="22"/>
                <w:lang w:bidi="ar"/>
              </w:rPr>
              <w:t>完成放行的产品应当附有合格证明文件，合格证明文件可以是产品检验报告、放行单、合格标识或者合格证等。</w:t>
            </w:r>
          </w:p>
        </w:tc>
        <w:tc>
          <w:tcPr>
            <w:tcW w:w="407" w:type="pct"/>
            <w:noWrap w:val="0"/>
            <w:vAlign w:val="center"/>
          </w:tcPr>
          <w:p w14:paraId="157C9EC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5557254">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《规范》第一百零四条</w:t>
            </w:r>
          </w:p>
        </w:tc>
      </w:tr>
      <w:tr w14:paraId="1683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589" w:type="pct"/>
            <w:vMerge w:val="continue"/>
            <w:noWrap w:val="0"/>
            <w:vAlign w:val="center"/>
          </w:tcPr>
          <w:p w14:paraId="25A12F1A">
            <w:pPr>
              <w:jc w:val="center"/>
              <w:rPr>
                <w:rFonts w:eastAsia="仿宋_GB2312"/>
                <w:color w:val="000000"/>
                <w:sz w:val="22"/>
                <w:szCs w:val="22"/>
              </w:rPr>
            </w:pPr>
          </w:p>
        </w:tc>
        <w:tc>
          <w:tcPr>
            <w:tcW w:w="326" w:type="pct"/>
            <w:noWrap w:val="0"/>
            <w:vAlign w:val="center"/>
          </w:tcPr>
          <w:p w14:paraId="2BA5D69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161</w:t>
            </w:r>
          </w:p>
        </w:tc>
        <w:tc>
          <w:tcPr>
            <w:tcW w:w="523" w:type="pct"/>
            <w:noWrap w:val="0"/>
            <w:vAlign w:val="center"/>
          </w:tcPr>
          <w:p w14:paraId="2B9355BC">
            <w:pPr>
              <w:widowControl/>
              <w:jc w:val="center"/>
              <w:textAlignment w:val="center"/>
              <w:rPr>
                <w:rFonts w:eastAsia="仿宋_GB2312"/>
                <w:color w:val="000000"/>
                <w:sz w:val="22"/>
                <w:szCs w:val="22"/>
              </w:rPr>
            </w:pPr>
            <w:r>
              <w:rPr>
                <w:rFonts w:eastAsia="仿宋_GB2312"/>
                <w:color w:val="000000"/>
                <w:kern w:val="0"/>
                <w:sz w:val="22"/>
                <w:szCs w:val="22"/>
                <w:lang w:bidi="ar"/>
              </w:rPr>
              <w:t>11.8.3</w:t>
            </w:r>
          </w:p>
        </w:tc>
        <w:tc>
          <w:tcPr>
            <w:tcW w:w="2496" w:type="pct"/>
            <w:noWrap w:val="0"/>
            <w:vAlign w:val="center"/>
          </w:tcPr>
          <w:p w14:paraId="463172CC">
            <w:pPr>
              <w:widowControl/>
              <w:jc w:val="left"/>
              <w:textAlignment w:val="center"/>
              <w:rPr>
                <w:rFonts w:eastAsia="仿宋_GB2312"/>
                <w:color w:val="000000"/>
                <w:sz w:val="22"/>
                <w:szCs w:val="22"/>
              </w:rPr>
            </w:pPr>
            <w:r>
              <w:rPr>
                <w:rFonts w:eastAsia="仿宋_GB2312"/>
                <w:color w:val="000000"/>
                <w:kern w:val="0"/>
                <w:sz w:val="22"/>
                <w:szCs w:val="22"/>
                <w:lang w:bidi="ar"/>
              </w:rPr>
              <w:t>委托生产的，产品放行包括生产放行和上市放行。医疗器械注册人、备案人负责上市放行，受托生产企业负责生产放行。</w:t>
            </w:r>
          </w:p>
        </w:tc>
        <w:tc>
          <w:tcPr>
            <w:tcW w:w="407" w:type="pct"/>
            <w:noWrap w:val="0"/>
            <w:vAlign w:val="center"/>
          </w:tcPr>
          <w:p w14:paraId="0CEF382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F73BB96">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《规范》第一百零四条</w:t>
            </w:r>
          </w:p>
        </w:tc>
      </w:tr>
      <w:tr w14:paraId="7350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89" w:type="pct"/>
            <w:vMerge w:val="continue"/>
            <w:noWrap w:val="0"/>
            <w:vAlign w:val="center"/>
          </w:tcPr>
          <w:p w14:paraId="1F9B8448">
            <w:pPr>
              <w:jc w:val="center"/>
              <w:rPr>
                <w:rFonts w:eastAsia="仿宋_GB2312"/>
                <w:color w:val="000000"/>
                <w:sz w:val="22"/>
                <w:szCs w:val="22"/>
              </w:rPr>
            </w:pPr>
          </w:p>
        </w:tc>
        <w:tc>
          <w:tcPr>
            <w:tcW w:w="326" w:type="pct"/>
            <w:noWrap w:val="0"/>
            <w:vAlign w:val="center"/>
          </w:tcPr>
          <w:p w14:paraId="1CE37F5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162</w:t>
            </w:r>
          </w:p>
        </w:tc>
        <w:tc>
          <w:tcPr>
            <w:tcW w:w="523" w:type="pct"/>
            <w:noWrap w:val="0"/>
            <w:vAlign w:val="center"/>
          </w:tcPr>
          <w:p w14:paraId="2BDF9624">
            <w:pPr>
              <w:widowControl/>
              <w:jc w:val="center"/>
              <w:textAlignment w:val="center"/>
              <w:rPr>
                <w:rFonts w:eastAsia="仿宋_GB2312"/>
                <w:sz w:val="22"/>
                <w:szCs w:val="22"/>
              </w:rPr>
            </w:pPr>
            <w:r>
              <w:rPr>
                <w:rFonts w:eastAsia="仿宋_GB2312"/>
                <w:kern w:val="0"/>
                <w:sz w:val="22"/>
                <w:szCs w:val="22"/>
                <w:lang w:bidi="ar"/>
              </w:rPr>
              <w:t>11.9.1</w:t>
            </w:r>
          </w:p>
        </w:tc>
        <w:tc>
          <w:tcPr>
            <w:tcW w:w="2496" w:type="pct"/>
            <w:noWrap w:val="0"/>
            <w:vAlign w:val="center"/>
          </w:tcPr>
          <w:p w14:paraId="2C2B97A2">
            <w:pPr>
              <w:widowControl/>
              <w:jc w:val="left"/>
              <w:textAlignment w:val="center"/>
              <w:rPr>
                <w:rFonts w:eastAsia="仿宋_GB2312"/>
                <w:sz w:val="22"/>
                <w:szCs w:val="22"/>
              </w:rPr>
            </w:pPr>
            <w:r>
              <w:rPr>
                <w:rFonts w:eastAsia="仿宋_GB2312"/>
                <w:kern w:val="0"/>
                <w:sz w:val="22"/>
                <w:szCs w:val="22"/>
                <w:lang w:bidi="ar"/>
              </w:rPr>
              <w:t>需要常规控制的进货检验、过程检验和成品检验项目一般不得进行委托检验。</w:t>
            </w:r>
          </w:p>
        </w:tc>
        <w:tc>
          <w:tcPr>
            <w:tcW w:w="407" w:type="pct"/>
            <w:noWrap w:val="0"/>
            <w:vAlign w:val="center"/>
          </w:tcPr>
          <w:p w14:paraId="5BE5462C">
            <w:pPr>
              <w:widowControl/>
              <w:jc w:val="center"/>
              <w:textAlignment w:val="center"/>
              <w:rPr>
                <w:rFonts w:eastAsia="仿宋_GB2312"/>
                <w:sz w:val="22"/>
                <w:szCs w:val="22"/>
              </w:rPr>
            </w:pPr>
            <w:r>
              <w:rPr>
                <w:rFonts w:eastAsia="仿宋_GB2312"/>
                <w:kern w:val="0"/>
                <w:sz w:val="22"/>
                <w:szCs w:val="22"/>
                <w:lang w:bidi="ar"/>
              </w:rPr>
              <w:t>*</w:t>
            </w:r>
          </w:p>
        </w:tc>
        <w:tc>
          <w:tcPr>
            <w:tcW w:w="657" w:type="pct"/>
            <w:noWrap w:val="0"/>
            <w:vAlign w:val="center"/>
          </w:tcPr>
          <w:p w14:paraId="053206FC">
            <w:pPr>
              <w:widowControl/>
              <w:jc w:val="center"/>
              <w:textAlignment w:val="center"/>
              <w:rPr>
                <w:rFonts w:eastAsia="仿宋_GB2312"/>
                <w:sz w:val="22"/>
                <w:szCs w:val="22"/>
              </w:rPr>
            </w:pPr>
            <w:r>
              <w:rPr>
                <w:rFonts w:eastAsia="仿宋_GB2312"/>
                <w:kern w:val="0"/>
                <w:sz w:val="22"/>
                <w:szCs w:val="22"/>
                <w:lang w:bidi="ar"/>
              </w:rPr>
              <w:t>《规范》第一百零六条</w:t>
            </w:r>
          </w:p>
        </w:tc>
      </w:tr>
      <w:tr w14:paraId="3F55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4380E8CC">
            <w:pPr>
              <w:jc w:val="center"/>
              <w:rPr>
                <w:rFonts w:eastAsia="仿宋_GB2312"/>
                <w:color w:val="000000"/>
                <w:sz w:val="22"/>
                <w:szCs w:val="22"/>
              </w:rPr>
            </w:pPr>
          </w:p>
        </w:tc>
        <w:tc>
          <w:tcPr>
            <w:tcW w:w="326" w:type="pct"/>
            <w:noWrap w:val="0"/>
            <w:vAlign w:val="center"/>
          </w:tcPr>
          <w:p w14:paraId="1DB7183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163</w:t>
            </w:r>
          </w:p>
        </w:tc>
        <w:tc>
          <w:tcPr>
            <w:tcW w:w="523" w:type="pct"/>
            <w:noWrap w:val="0"/>
            <w:vAlign w:val="center"/>
          </w:tcPr>
          <w:p w14:paraId="44C6FDC5">
            <w:pPr>
              <w:widowControl/>
              <w:jc w:val="center"/>
              <w:textAlignment w:val="center"/>
              <w:rPr>
                <w:rFonts w:eastAsia="仿宋_GB2312"/>
                <w:color w:val="000000"/>
                <w:sz w:val="22"/>
                <w:szCs w:val="22"/>
              </w:rPr>
            </w:pPr>
            <w:r>
              <w:rPr>
                <w:rFonts w:eastAsia="仿宋_GB2312"/>
                <w:color w:val="000000"/>
                <w:kern w:val="0"/>
                <w:sz w:val="22"/>
                <w:szCs w:val="22"/>
                <w:lang w:bidi="ar"/>
              </w:rPr>
              <w:t>11.9.2</w:t>
            </w:r>
          </w:p>
        </w:tc>
        <w:tc>
          <w:tcPr>
            <w:tcW w:w="2496" w:type="pct"/>
            <w:noWrap w:val="0"/>
            <w:vAlign w:val="center"/>
          </w:tcPr>
          <w:p w14:paraId="54DF3CEF">
            <w:pPr>
              <w:widowControl/>
              <w:jc w:val="left"/>
              <w:textAlignment w:val="center"/>
              <w:rPr>
                <w:rFonts w:eastAsia="仿宋_GB2312"/>
                <w:color w:val="000000"/>
                <w:sz w:val="22"/>
                <w:szCs w:val="22"/>
              </w:rPr>
            </w:pPr>
            <w:r>
              <w:rPr>
                <w:rFonts w:eastAsia="仿宋_GB2312"/>
                <w:color w:val="000000"/>
                <w:kern w:val="0"/>
                <w:sz w:val="22"/>
                <w:szCs w:val="22"/>
                <w:lang w:bidi="ar"/>
              </w:rPr>
              <w:t>对于检验条件和设备要求较高，确需委托检验的项目，可以委托具有资质的机构进行检验。</w:t>
            </w:r>
          </w:p>
        </w:tc>
        <w:tc>
          <w:tcPr>
            <w:tcW w:w="407" w:type="pct"/>
            <w:noWrap w:val="0"/>
            <w:vAlign w:val="center"/>
          </w:tcPr>
          <w:p w14:paraId="1E09E66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E0A17F6">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《规范》第一百零六条</w:t>
            </w:r>
          </w:p>
        </w:tc>
      </w:tr>
      <w:tr w14:paraId="0A12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BA997DA">
            <w:pPr>
              <w:jc w:val="center"/>
              <w:rPr>
                <w:rFonts w:eastAsia="仿宋_GB2312"/>
                <w:color w:val="000000"/>
                <w:sz w:val="22"/>
                <w:szCs w:val="22"/>
              </w:rPr>
            </w:pPr>
          </w:p>
        </w:tc>
        <w:tc>
          <w:tcPr>
            <w:tcW w:w="326" w:type="pct"/>
            <w:noWrap w:val="0"/>
            <w:vAlign w:val="center"/>
          </w:tcPr>
          <w:p w14:paraId="76606B1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164</w:t>
            </w:r>
          </w:p>
        </w:tc>
        <w:tc>
          <w:tcPr>
            <w:tcW w:w="523" w:type="pct"/>
            <w:noWrap w:val="0"/>
            <w:vAlign w:val="center"/>
          </w:tcPr>
          <w:p w14:paraId="610D454A">
            <w:pPr>
              <w:widowControl/>
              <w:jc w:val="center"/>
              <w:textAlignment w:val="center"/>
              <w:rPr>
                <w:rFonts w:eastAsia="仿宋_GB2312"/>
                <w:color w:val="000000"/>
                <w:sz w:val="22"/>
                <w:szCs w:val="22"/>
              </w:rPr>
            </w:pPr>
            <w:r>
              <w:rPr>
                <w:rFonts w:eastAsia="仿宋_GB2312"/>
                <w:color w:val="000000"/>
                <w:kern w:val="0"/>
                <w:sz w:val="22"/>
                <w:szCs w:val="22"/>
                <w:lang w:bidi="ar"/>
              </w:rPr>
              <w:t>11.9.3</w:t>
            </w:r>
          </w:p>
        </w:tc>
        <w:tc>
          <w:tcPr>
            <w:tcW w:w="2496" w:type="pct"/>
            <w:noWrap w:val="0"/>
            <w:vAlign w:val="center"/>
          </w:tcPr>
          <w:p w14:paraId="61CE0D46">
            <w:pPr>
              <w:widowControl/>
              <w:jc w:val="left"/>
              <w:textAlignment w:val="center"/>
              <w:rPr>
                <w:rFonts w:eastAsia="仿宋_GB2312"/>
                <w:color w:val="000000"/>
                <w:sz w:val="22"/>
                <w:szCs w:val="22"/>
              </w:rPr>
            </w:pPr>
            <w:r>
              <w:rPr>
                <w:rFonts w:eastAsia="仿宋_GB2312"/>
                <w:color w:val="000000"/>
                <w:kern w:val="0"/>
                <w:sz w:val="22"/>
                <w:szCs w:val="22"/>
                <w:lang w:bidi="ar"/>
              </w:rPr>
              <w:t>委托检验的，企业应当与受托检验机构签订质量协议，明确规定双方责任和委托检验要求。</w:t>
            </w:r>
          </w:p>
        </w:tc>
        <w:tc>
          <w:tcPr>
            <w:tcW w:w="407" w:type="pct"/>
            <w:noWrap w:val="0"/>
            <w:vAlign w:val="center"/>
          </w:tcPr>
          <w:p w14:paraId="16471319">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5708C6D">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《规范》第一百零六条</w:t>
            </w:r>
          </w:p>
        </w:tc>
      </w:tr>
      <w:tr w14:paraId="13C0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A1416ED">
            <w:pPr>
              <w:jc w:val="center"/>
              <w:rPr>
                <w:rFonts w:eastAsia="仿宋_GB2312"/>
                <w:color w:val="000000"/>
                <w:sz w:val="22"/>
                <w:szCs w:val="22"/>
              </w:rPr>
            </w:pPr>
          </w:p>
        </w:tc>
        <w:tc>
          <w:tcPr>
            <w:tcW w:w="326" w:type="pct"/>
            <w:noWrap w:val="0"/>
            <w:vAlign w:val="center"/>
          </w:tcPr>
          <w:p w14:paraId="61A8430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165</w:t>
            </w:r>
          </w:p>
        </w:tc>
        <w:tc>
          <w:tcPr>
            <w:tcW w:w="523" w:type="pct"/>
            <w:noWrap w:val="0"/>
            <w:vAlign w:val="center"/>
          </w:tcPr>
          <w:p w14:paraId="0780EA7C">
            <w:pPr>
              <w:widowControl/>
              <w:jc w:val="center"/>
              <w:textAlignment w:val="center"/>
              <w:rPr>
                <w:rFonts w:eastAsia="仿宋_GB2312"/>
                <w:color w:val="000000"/>
                <w:sz w:val="22"/>
                <w:szCs w:val="22"/>
              </w:rPr>
            </w:pPr>
            <w:r>
              <w:rPr>
                <w:rFonts w:eastAsia="仿宋_GB2312"/>
                <w:color w:val="000000"/>
                <w:kern w:val="0"/>
                <w:sz w:val="22"/>
                <w:szCs w:val="22"/>
                <w:lang w:bidi="ar"/>
              </w:rPr>
              <w:t>11.9.4</w:t>
            </w:r>
          </w:p>
        </w:tc>
        <w:tc>
          <w:tcPr>
            <w:tcW w:w="2496" w:type="pct"/>
            <w:noWrap w:val="0"/>
            <w:vAlign w:val="center"/>
          </w:tcPr>
          <w:p w14:paraId="0673E519">
            <w:pPr>
              <w:widowControl/>
              <w:jc w:val="left"/>
              <w:textAlignment w:val="center"/>
              <w:rPr>
                <w:rFonts w:eastAsia="仿宋_GB2312"/>
                <w:color w:val="000000"/>
                <w:sz w:val="22"/>
                <w:szCs w:val="22"/>
              </w:rPr>
            </w:pPr>
            <w:r>
              <w:rPr>
                <w:rFonts w:eastAsia="仿宋_GB2312"/>
                <w:color w:val="000000"/>
                <w:kern w:val="0"/>
                <w:sz w:val="22"/>
                <w:szCs w:val="22"/>
                <w:lang w:bidi="ar"/>
              </w:rPr>
              <w:t>委托方应当对受托检验机构的检验能力开展评价，并对委托检验结果进行确认。</w:t>
            </w:r>
          </w:p>
        </w:tc>
        <w:tc>
          <w:tcPr>
            <w:tcW w:w="407" w:type="pct"/>
            <w:noWrap w:val="0"/>
            <w:vAlign w:val="center"/>
          </w:tcPr>
          <w:p w14:paraId="64B8846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8ADD523">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《规范》第一百零六条</w:t>
            </w:r>
          </w:p>
        </w:tc>
      </w:tr>
      <w:tr w14:paraId="48FBE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restart"/>
            <w:noWrap w:val="0"/>
            <w:vAlign w:val="center"/>
          </w:tcPr>
          <w:p w14:paraId="3E549369">
            <w:pPr>
              <w:widowControl/>
              <w:jc w:val="center"/>
              <w:textAlignment w:val="center"/>
              <w:rPr>
                <w:rFonts w:eastAsia="仿宋_GB2312"/>
                <w:color w:val="000000"/>
                <w:sz w:val="22"/>
                <w:szCs w:val="22"/>
              </w:rPr>
            </w:pPr>
            <w:r>
              <w:rPr>
                <w:rFonts w:eastAsia="仿宋_GB2312"/>
                <w:color w:val="000000"/>
                <w:kern w:val="0"/>
                <w:sz w:val="22"/>
                <w:szCs w:val="22"/>
                <w:lang w:bidi="ar"/>
              </w:rPr>
              <w:t>第十二章 委托生产与外协加工</w:t>
            </w:r>
          </w:p>
        </w:tc>
        <w:tc>
          <w:tcPr>
            <w:tcW w:w="326" w:type="pct"/>
            <w:noWrap w:val="0"/>
            <w:vAlign w:val="center"/>
          </w:tcPr>
          <w:p w14:paraId="234F990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166</w:t>
            </w:r>
          </w:p>
        </w:tc>
        <w:tc>
          <w:tcPr>
            <w:tcW w:w="523" w:type="pct"/>
            <w:noWrap w:val="0"/>
            <w:vAlign w:val="center"/>
          </w:tcPr>
          <w:p w14:paraId="1850B0D0">
            <w:pPr>
              <w:widowControl/>
              <w:jc w:val="center"/>
              <w:textAlignment w:val="center"/>
              <w:rPr>
                <w:rFonts w:eastAsia="仿宋_GB2312"/>
                <w:color w:val="000000"/>
                <w:sz w:val="22"/>
                <w:szCs w:val="22"/>
              </w:rPr>
            </w:pPr>
            <w:r>
              <w:rPr>
                <w:rFonts w:eastAsia="仿宋_GB2312"/>
                <w:color w:val="000000"/>
                <w:kern w:val="0"/>
                <w:sz w:val="22"/>
                <w:szCs w:val="22"/>
                <w:lang w:bidi="ar"/>
              </w:rPr>
              <w:t>12.1.1</w:t>
            </w:r>
          </w:p>
        </w:tc>
        <w:tc>
          <w:tcPr>
            <w:tcW w:w="2496" w:type="pct"/>
            <w:noWrap w:val="0"/>
            <w:vAlign w:val="center"/>
          </w:tcPr>
          <w:p w14:paraId="76A1BF0A">
            <w:pPr>
              <w:widowControl/>
              <w:jc w:val="left"/>
              <w:textAlignment w:val="center"/>
              <w:rPr>
                <w:rFonts w:eastAsia="仿宋_GB2312"/>
                <w:color w:val="000000"/>
                <w:sz w:val="22"/>
                <w:szCs w:val="22"/>
              </w:rPr>
            </w:pPr>
            <w:r>
              <w:rPr>
                <w:rFonts w:eastAsia="仿宋_GB2312"/>
                <w:color w:val="000000"/>
                <w:kern w:val="0"/>
                <w:sz w:val="22"/>
                <w:szCs w:val="22"/>
                <w:lang w:bidi="ar"/>
              </w:rPr>
              <w:t>委托生产医疗器械的，委托方质量管理体系应当覆盖医疗器械全生命周期。受托生产企业质量管理体系应当包括与受托生产活动相关内容。</w:t>
            </w:r>
          </w:p>
        </w:tc>
        <w:tc>
          <w:tcPr>
            <w:tcW w:w="407" w:type="pct"/>
            <w:noWrap w:val="0"/>
            <w:vAlign w:val="center"/>
          </w:tcPr>
          <w:p w14:paraId="6979130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28C17AD">
            <w:pPr>
              <w:widowControl/>
              <w:jc w:val="center"/>
              <w:textAlignment w:val="center"/>
              <w:rPr>
                <w:rFonts w:eastAsia="仿宋_GB2312"/>
                <w:color w:val="000000"/>
                <w:sz w:val="22"/>
                <w:szCs w:val="22"/>
              </w:rPr>
            </w:pPr>
            <w:r>
              <w:rPr>
                <w:rFonts w:eastAsia="仿宋_GB2312"/>
                <w:color w:val="000000"/>
                <w:kern w:val="0"/>
                <w:sz w:val="22"/>
                <w:szCs w:val="22"/>
                <w:lang w:bidi="ar"/>
              </w:rPr>
              <w:t>《规范》第一百零七条</w:t>
            </w:r>
          </w:p>
        </w:tc>
      </w:tr>
      <w:tr w14:paraId="5513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2408353F">
            <w:pPr>
              <w:jc w:val="center"/>
              <w:rPr>
                <w:rFonts w:eastAsia="仿宋_GB2312"/>
                <w:color w:val="000000"/>
                <w:sz w:val="22"/>
                <w:szCs w:val="22"/>
              </w:rPr>
            </w:pPr>
          </w:p>
        </w:tc>
        <w:tc>
          <w:tcPr>
            <w:tcW w:w="326" w:type="pct"/>
            <w:noWrap w:val="0"/>
            <w:vAlign w:val="center"/>
          </w:tcPr>
          <w:p w14:paraId="1A6CDD6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167</w:t>
            </w:r>
          </w:p>
        </w:tc>
        <w:tc>
          <w:tcPr>
            <w:tcW w:w="523" w:type="pct"/>
            <w:noWrap w:val="0"/>
            <w:vAlign w:val="center"/>
          </w:tcPr>
          <w:p w14:paraId="68673C78">
            <w:pPr>
              <w:widowControl/>
              <w:jc w:val="center"/>
              <w:textAlignment w:val="center"/>
              <w:rPr>
                <w:rFonts w:eastAsia="仿宋_GB2312"/>
                <w:color w:val="000000"/>
                <w:sz w:val="22"/>
                <w:szCs w:val="22"/>
              </w:rPr>
            </w:pPr>
            <w:r>
              <w:rPr>
                <w:rFonts w:eastAsia="仿宋_GB2312"/>
                <w:color w:val="000000"/>
                <w:kern w:val="0"/>
                <w:sz w:val="22"/>
                <w:szCs w:val="22"/>
                <w:lang w:bidi="ar"/>
              </w:rPr>
              <w:t>12.1.2</w:t>
            </w:r>
          </w:p>
        </w:tc>
        <w:tc>
          <w:tcPr>
            <w:tcW w:w="2496" w:type="pct"/>
            <w:noWrap w:val="0"/>
            <w:vAlign w:val="center"/>
          </w:tcPr>
          <w:p w14:paraId="0DDF1C5B">
            <w:pPr>
              <w:widowControl/>
              <w:jc w:val="left"/>
              <w:textAlignment w:val="center"/>
              <w:rPr>
                <w:rFonts w:eastAsia="仿宋_GB2312"/>
                <w:color w:val="000000"/>
                <w:sz w:val="22"/>
                <w:szCs w:val="22"/>
              </w:rPr>
            </w:pPr>
            <w:r>
              <w:rPr>
                <w:rFonts w:eastAsia="仿宋_GB2312"/>
                <w:color w:val="000000"/>
                <w:kern w:val="0"/>
                <w:sz w:val="22"/>
                <w:szCs w:val="22"/>
                <w:lang w:bidi="ar"/>
              </w:rPr>
              <w:t>委托双方应当建立有效沟通机制，确保质量管理体系有效衔接与运行。</w:t>
            </w:r>
          </w:p>
        </w:tc>
        <w:tc>
          <w:tcPr>
            <w:tcW w:w="407" w:type="pct"/>
            <w:noWrap w:val="0"/>
            <w:vAlign w:val="center"/>
          </w:tcPr>
          <w:p w14:paraId="498787C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EC8DD5E">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《规范》第一百零七条</w:t>
            </w:r>
          </w:p>
        </w:tc>
      </w:tr>
      <w:tr w14:paraId="50E4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4E9CF72A">
            <w:pPr>
              <w:jc w:val="center"/>
              <w:rPr>
                <w:rFonts w:eastAsia="仿宋_GB2312"/>
                <w:color w:val="000000"/>
                <w:sz w:val="22"/>
                <w:szCs w:val="22"/>
              </w:rPr>
            </w:pPr>
          </w:p>
        </w:tc>
        <w:tc>
          <w:tcPr>
            <w:tcW w:w="326" w:type="pct"/>
            <w:noWrap w:val="0"/>
            <w:vAlign w:val="center"/>
          </w:tcPr>
          <w:p w14:paraId="2A067C5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168</w:t>
            </w:r>
          </w:p>
        </w:tc>
        <w:tc>
          <w:tcPr>
            <w:tcW w:w="523" w:type="pct"/>
            <w:noWrap w:val="0"/>
            <w:vAlign w:val="center"/>
          </w:tcPr>
          <w:p w14:paraId="1879A405">
            <w:pPr>
              <w:widowControl/>
              <w:jc w:val="center"/>
              <w:textAlignment w:val="center"/>
              <w:rPr>
                <w:rFonts w:eastAsia="仿宋_GB2312"/>
                <w:color w:val="000000"/>
                <w:sz w:val="22"/>
                <w:szCs w:val="22"/>
              </w:rPr>
            </w:pPr>
            <w:r>
              <w:rPr>
                <w:rFonts w:eastAsia="仿宋_GB2312"/>
                <w:color w:val="000000"/>
                <w:kern w:val="0"/>
                <w:sz w:val="22"/>
                <w:szCs w:val="22"/>
                <w:lang w:bidi="ar"/>
              </w:rPr>
              <w:t>12.2.1</w:t>
            </w:r>
          </w:p>
        </w:tc>
        <w:tc>
          <w:tcPr>
            <w:tcW w:w="2496" w:type="pct"/>
            <w:noWrap w:val="0"/>
            <w:vAlign w:val="center"/>
          </w:tcPr>
          <w:p w14:paraId="1BEA748E">
            <w:pPr>
              <w:widowControl/>
              <w:jc w:val="left"/>
              <w:textAlignment w:val="center"/>
              <w:rPr>
                <w:rFonts w:eastAsia="仿宋_GB2312"/>
                <w:color w:val="000000"/>
                <w:sz w:val="22"/>
                <w:szCs w:val="22"/>
              </w:rPr>
            </w:pPr>
            <w:r>
              <w:rPr>
                <w:rFonts w:eastAsia="仿宋_GB2312"/>
                <w:color w:val="000000"/>
                <w:kern w:val="0"/>
                <w:sz w:val="22"/>
                <w:szCs w:val="22"/>
                <w:lang w:bidi="ar"/>
              </w:rPr>
              <w:t>委托方与受托方应当签订质量协议，明确双方在产品生产全过程中各自的权利、义务和责任。委托方不得通过协议转移依法应当由其履行的义务和责任。</w:t>
            </w:r>
          </w:p>
        </w:tc>
        <w:tc>
          <w:tcPr>
            <w:tcW w:w="407" w:type="pct"/>
            <w:noWrap w:val="0"/>
            <w:vAlign w:val="center"/>
          </w:tcPr>
          <w:p w14:paraId="7B9A997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2C164E1">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《规范》第一百零八条</w:t>
            </w:r>
          </w:p>
        </w:tc>
      </w:tr>
      <w:tr w14:paraId="69D6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89" w:type="pct"/>
            <w:vMerge w:val="continue"/>
            <w:noWrap w:val="0"/>
            <w:vAlign w:val="center"/>
          </w:tcPr>
          <w:p w14:paraId="742AF876">
            <w:pPr>
              <w:jc w:val="center"/>
              <w:rPr>
                <w:rFonts w:eastAsia="仿宋_GB2312"/>
                <w:color w:val="000000"/>
                <w:sz w:val="22"/>
                <w:szCs w:val="22"/>
              </w:rPr>
            </w:pPr>
          </w:p>
        </w:tc>
        <w:tc>
          <w:tcPr>
            <w:tcW w:w="326" w:type="pct"/>
            <w:noWrap w:val="0"/>
            <w:vAlign w:val="center"/>
          </w:tcPr>
          <w:p w14:paraId="0E214C8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169</w:t>
            </w:r>
          </w:p>
        </w:tc>
        <w:tc>
          <w:tcPr>
            <w:tcW w:w="523" w:type="pct"/>
            <w:noWrap w:val="0"/>
            <w:vAlign w:val="center"/>
          </w:tcPr>
          <w:p w14:paraId="05A628BD">
            <w:pPr>
              <w:widowControl/>
              <w:jc w:val="center"/>
              <w:textAlignment w:val="center"/>
              <w:rPr>
                <w:rFonts w:eastAsia="仿宋_GB2312"/>
                <w:color w:val="000000"/>
                <w:sz w:val="22"/>
                <w:szCs w:val="22"/>
              </w:rPr>
            </w:pPr>
            <w:r>
              <w:rPr>
                <w:rFonts w:eastAsia="仿宋_GB2312"/>
                <w:color w:val="000000"/>
                <w:kern w:val="0"/>
                <w:sz w:val="22"/>
                <w:szCs w:val="22"/>
                <w:lang w:bidi="ar"/>
              </w:rPr>
              <w:t>12.3.1</w:t>
            </w:r>
          </w:p>
        </w:tc>
        <w:tc>
          <w:tcPr>
            <w:tcW w:w="2496" w:type="pct"/>
            <w:noWrap w:val="0"/>
            <w:vAlign w:val="center"/>
          </w:tcPr>
          <w:p w14:paraId="52864A62">
            <w:pPr>
              <w:widowControl/>
              <w:jc w:val="left"/>
              <w:textAlignment w:val="center"/>
              <w:rPr>
                <w:rFonts w:eastAsia="仿宋_GB2312"/>
                <w:color w:val="000000"/>
                <w:sz w:val="22"/>
                <w:szCs w:val="22"/>
              </w:rPr>
            </w:pPr>
            <w:r>
              <w:rPr>
                <w:rFonts w:eastAsia="仿宋_GB2312"/>
                <w:color w:val="000000"/>
                <w:kern w:val="0"/>
                <w:sz w:val="22"/>
                <w:szCs w:val="22"/>
                <w:lang w:bidi="ar"/>
              </w:rPr>
              <w:t>委托生产前，委托方应当对受托方生产能力、质量保证能力和风险管理能力进行现场评估，确认其具备受托生产能力，并能持续符合本规范要求；委托生产期间，应当定期对受托方质量管理体系进行现场审核和评估。</w:t>
            </w:r>
          </w:p>
        </w:tc>
        <w:tc>
          <w:tcPr>
            <w:tcW w:w="407" w:type="pct"/>
            <w:noWrap w:val="0"/>
            <w:vAlign w:val="center"/>
          </w:tcPr>
          <w:p w14:paraId="080D34C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CF1A7B0">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《规范》第一百零九条</w:t>
            </w:r>
          </w:p>
        </w:tc>
      </w:tr>
      <w:tr w14:paraId="0093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9" w:type="pct"/>
            <w:vMerge w:val="continue"/>
            <w:noWrap w:val="0"/>
            <w:vAlign w:val="center"/>
          </w:tcPr>
          <w:p w14:paraId="1F64DA9E">
            <w:pPr>
              <w:jc w:val="center"/>
              <w:rPr>
                <w:rFonts w:eastAsia="仿宋_GB2312"/>
                <w:color w:val="000000"/>
                <w:sz w:val="22"/>
                <w:szCs w:val="22"/>
              </w:rPr>
            </w:pPr>
          </w:p>
        </w:tc>
        <w:tc>
          <w:tcPr>
            <w:tcW w:w="326" w:type="pct"/>
            <w:noWrap w:val="0"/>
            <w:vAlign w:val="center"/>
          </w:tcPr>
          <w:p w14:paraId="57082B9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170</w:t>
            </w:r>
          </w:p>
        </w:tc>
        <w:tc>
          <w:tcPr>
            <w:tcW w:w="523" w:type="pct"/>
            <w:noWrap w:val="0"/>
            <w:vAlign w:val="center"/>
          </w:tcPr>
          <w:p w14:paraId="1D573AF5">
            <w:pPr>
              <w:widowControl/>
              <w:jc w:val="center"/>
              <w:textAlignment w:val="center"/>
              <w:rPr>
                <w:rFonts w:eastAsia="仿宋_GB2312"/>
                <w:color w:val="000000"/>
                <w:sz w:val="22"/>
                <w:szCs w:val="22"/>
              </w:rPr>
            </w:pPr>
            <w:r>
              <w:rPr>
                <w:rFonts w:eastAsia="仿宋_GB2312"/>
                <w:color w:val="000000"/>
                <w:kern w:val="0"/>
                <w:sz w:val="22"/>
                <w:szCs w:val="22"/>
                <w:lang w:bidi="ar"/>
              </w:rPr>
              <w:t>12.3.2</w:t>
            </w:r>
          </w:p>
        </w:tc>
        <w:tc>
          <w:tcPr>
            <w:tcW w:w="2496" w:type="pct"/>
            <w:noWrap w:val="0"/>
            <w:vAlign w:val="center"/>
          </w:tcPr>
          <w:p w14:paraId="70CB626D">
            <w:pPr>
              <w:widowControl/>
              <w:jc w:val="left"/>
              <w:textAlignment w:val="center"/>
              <w:rPr>
                <w:rFonts w:eastAsia="仿宋_GB2312"/>
                <w:color w:val="000000"/>
                <w:sz w:val="22"/>
                <w:szCs w:val="22"/>
              </w:rPr>
            </w:pPr>
            <w:r>
              <w:rPr>
                <w:rFonts w:eastAsia="仿宋_GB2312"/>
                <w:color w:val="000000"/>
                <w:kern w:val="0"/>
                <w:sz w:val="22"/>
                <w:szCs w:val="22"/>
                <w:lang w:bidi="ar"/>
              </w:rPr>
              <w:t>受托方应当接受委托方的审核和监督，并及时采取纠正预防措施落实其整改要求。</w:t>
            </w:r>
          </w:p>
        </w:tc>
        <w:tc>
          <w:tcPr>
            <w:tcW w:w="407" w:type="pct"/>
            <w:noWrap w:val="0"/>
            <w:vAlign w:val="center"/>
          </w:tcPr>
          <w:p w14:paraId="71B55EF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B422236">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《规范》第一百零九条</w:t>
            </w:r>
          </w:p>
        </w:tc>
      </w:tr>
      <w:tr w14:paraId="0730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67572683">
            <w:pPr>
              <w:jc w:val="center"/>
              <w:rPr>
                <w:rFonts w:eastAsia="仿宋_GB2312"/>
                <w:color w:val="000000"/>
                <w:sz w:val="22"/>
                <w:szCs w:val="22"/>
              </w:rPr>
            </w:pPr>
          </w:p>
        </w:tc>
        <w:tc>
          <w:tcPr>
            <w:tcW w:w="326" w:type="pct"/>
            <w:noWrap w:val="0"/>
            <w:vAlign w:val="center"/>
          </w:tcPr>
          <w:p w14:paraId="5570AA3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171</w:t>
            </w:r>
          </w:p>
        </w:tc>
        <w:tc>
          <w:tcPr>
            <w:tcW w:w="523" w:type="pct"/>
            <w:noWrap w:val="0"/>
            <w:vAlign w:val="center"/>
          </w:tcPr>
          <w:p w14:paraId="19549440">
            <w:pPr>
              <w:widowControl/>
              <w:jc w:val="center"/>
              <w:textAlignment w:val="center"/>
              <w:rPr>
                <w:rFonts w:eastAsia="仿宋_GB2312"/>
                <w:color w:val="000000"/>
                <w:sz w:val="22"/>
                <w:szCs w:val="22"/>
              </w:rPr>
            </w:pPr>
            <w:r>
              <w:rPr>
                <w:rFonts w:eastAsia="仿宋_GB2312"/>
                <w:color w:val="000000"/>
                <w:kern w:val="0"/>
                <w:sz w:val="22"/>
                <w:szCs w:val="22"/>
                <w:lang w:bidi="ar"/>
              </w:rPr>
              <w:t>12.4.1</w:t>
            </w:r>
          </w:p>
        </w:tc>
        <w:tc>
          <w:tcPr>
            <w:tcW w:w="2496" w:type="pct"/>
            <w:noWrap w:val="0"/>
            <w:vAlign w:val="center"/>
          </w:tcPr>
          <w:p w14:paraId="4AD6FA54">
            <w:pPr>
              <w:widowControl/>
              <w:jc w:val="left"/>
              <w:textAlignment w:val="center"/>
              <w:rPr>
                <w:rFonts w:eastAsia="仿宋_GB2312"/>
                <w:color w:val="000000"/>
                <w:sz w:val="22"/>
                <w:szCs w:val="22"/>
              </w:rPr>
            </w:pPr>
            <w:r>
              <w:rPr>
                <w:rFonts w:eastAsia="仿宋_GB2312"/>
                <w:color w:val="000000"/>
                <w:kern w:val="0"/>
                <w:sz w:val="22"/>
                <w:szCs w:val="22"/>
                <w:lang w:bidi="ar"/>
              </w:rPr>
              <w:t>委托方应当设置相应的质量管理机构，配备足够数量和能力的专职质量管理人员，以及熟悉产品、具有相应专业知识的技术人员，对委托生产活动进行有效监测和控制。</w:t>
            </w:r>
          </w:p>
        </w:tc>
        <w:tc>
          <w:tcPr>
            <w:tcW w:w="407" w:type="pct"/>
            <w:noWrap w:val="0"/>
            <w:vAlign w:val="center"/>
          </w:tcPr>
          <w:p w14:paraId="71DE4DC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BFFC586">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《规范》第一百一十条</w:t>
            </w:r>
          </w:p>
        </w:tc>
      </w:tr>
      <w:tr w14:paraId="3B9F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6D4F4099">
            <w:pPr>
              <w:jc w:val="center"/>
              <w:rPr>
                <w:rFonts w:eastAsia="仿宋_GB2312"/>
                <w:color w:val="000000"/>
                <w:sz w:val="22"/>
                <w:szCs w:val="22"/>
              </w:rPr>
            </w:pPr>
          </w:p>
        </w:tc>
        <w:tc>
          <w:tcPr>
            <w:tcW w:w="326" w:type="pct"/>
            <w:noWrap w:val="0"/>
            <w:vAlign w:val="center"/>
          </w:tcPr>
          <w:p w14:paraId="0D73962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172</w:t>
            </w:r>
          </w:p>
        </w:tc>
        <w:tc>
          <w:tcPr>
            <w:tcW w:w="523" w:type="pct"/>
            <w:noWrap w:val="0"/>
            <w:vAlign w:val="center"/>
          </w:tcPr>
          <w:p w14:paraId="6B7E2973">
            <w:pPr>
              <w:widowControl/>
              <w:jc w:val="center"/>
              <w:textAlignment w:val="center"/>
              <w:rPr>
                <w:rFonts w:eastAsia="仿宋_GB2312"/>
                <w:color w:val="000000"/>
                <w:sz w:val="22"/>
                <w:szCs w:val="22"/>
              </w:rPr>
            </w:pPr>
            <w:r>
              <w:rPr>
                <w:rFonts w:eastAsia="仿宋_GB2312"/>
                <w:color w:val="000000"/>
                <w:kern w:val="0"/>
                <w:sz w:val="22"/>
                <w:szCs w:val="22"/>
                <w:lang w:bidi="ar"/>
              </w:rPr>
              <w:t>12.4.2</w:t>
            </w:r>
          </w:p>
        </w:tc>
        <w:tc>
          <w:tcPr>
            <w:tcW w:w="2496" w:type="pct"/>
            <w:noWrap w:val="0"/>
            <w:vAlign w:val="center"/>
          </w:tcPr>
          <w:p w14:paraId="753C26E2">
            <w:pPr>
              <w:widowControl/>
              <w:jc w:val="left"/>
              <w:textAlignment w:val="center"/>
              <w:rPr>
                <w:rFonts w:eastAsia="仿宋_GB2312"/>
                <w:color w:val="000000"/>
                <w:sz w:val="22"/>
                <w:szCs w:val="22"/>
              </w:rPr>
            </w:pPr>
            <w:r>
              <w:rPr>
                <w:rFonts w:eastAsia="仿宋_GB2312"/>
                <w:color w:val="000000"/>
                <w:kern w:val="0"/>
                <w:sz w:val="22"/>
                <w:szCs w:val="22"/>
                <w:lang w:bidi="ar"/>
              </w:rPr>
              <w:t>受托方的管理者代表、生产管理部门负责人、质量管理部门负责人、放行审核人等关键岗位人员应当熟悉受托生产产品生产和质量管理情况。</w:t>
            </w:r>
          </w:p>
        </w:tc>
        <w:tc>
          <w:tcPr>
            <w:tcW w:w="407" w:type="pct"/>
            <w:noWrap w:val="0"/>
            <w:vAlign w:val="center"/>
          </w:tcPr>
          <w:p w14:paraId="1446ACB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0BB39B1">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《规范》第一百一十条</w:t>
            </w:r>
          </w:p>
        </w:tc>
      </w:tr>
      <w:tr w14:paraId="567A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7936A084">
            <w:pPr>
              <w:jc w:val="center"/>
              <w:rPr>
                <w:rFonts w:eastAsia="仿宋_GB2312"/>
                <w:color w:val="000000"/>
                <w:sz w:val="22"/>
                <w:szCs w:val="22"/>
              </w:rPr>
            </w:pPr>
          </w:p>
        </w:tc>
        <w:tc>
          <w:tcPr>
            <w:tcW w:w="326" w:type="pct"/>
            <w:noWrap w:val="0"/>
            <w:vAlign w:val="center"/>
          </w:tcPr>
          <w:p w14:paraId="65075A6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173</w:t>
            </w:r>
          </w:p>
        </w:tc>
        <w:tc>
          <w:tcPr>
            <w:tcW w:w="523" w:type="pct"/>
            <w:noWrap w:val="0"/>
            <w:vAlign w:val="center"/>
          </w:tcPr>
          <w:p w14:paraId="74CFB76E">
            <w:pPr>
              <w:widowControl/>
              <w:jc w:val="center"/>
              <w:textAlignment w:val="center"/>
              <w:rPr>
                <w:rFonts w:eastAsia="仿宋_GB2312"/>
                <w:color w:val="000000"/>
                <w:sz w:val="22"/>
                <w:szCs w:val="22"/>
              </w:rPr>
            </w:pPr>
            <w:r>
              <w:rPr>
                <w:rFonts w:eastAsia="仿宋_GB2312"/>
                <w:color w:val="000000"/>
                <w:kern w:val="0"/>
                <w:sz w:val="22"/>
                <w:szCs w:val="22"/>
                <w:lang w:bidi="ar"/>
              </w:rPr>
              <w:t>12.5.1</w:t>
            </w:r>
          </w:p>
        </w:tc>
        <w:tc>
          <w:tcPr>
            <w:tcW w:w="2496" w:type="pct"/>
            <w:noWrap w:val="0"/>
            <w:vAlign w:val="center"/>
          </w:tcPr>
          <w:p w14:paraId="4B368F56">
            <w:pPr>
              <w:widowControl/>
              <w:jc w:val="left"/>
              <w:textAlignment w:val="center"/>
              <w:rPr>
                <w:rFonts w:eastAsia="仿宋_GB2312"/>
                <w:color w:val="000000"/>
                <w:sz w:val="22"/>
                <w:szCs w:val="22"/>
              </w:rPr>
            </w:pPr>
            <w:r>
              <w:rPr>
                <w:rFonts w:eastAsia="仿宋_GB2312"/>
                <w:color w:val="000000"/>
                <w:kern w:val="0"/>
                <w:sz w:val="22"/>
                <w:szCs w:val="22"/>
                <w:lang w:bidi="ar"/>
              </w:rPr>
              <w:t>委托方应当与受托方共同策划完成生产转换活动，确保产品技术要求、原材料和生产工艺要求以及说明书和标签等有效转移到受托方。</w:t>
            </w:r>
          </w:p>
        </w:tc>
        <w:tc>
          <w:tcPr>
            <w:tcW w:w="407" w:type="pct"/>
            <w:noWrap w:val="0"/>
            <w:vAlign w:val="center"/>
          </w:tcPr>
          <w:p w14:paraId="6D3303B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13431CCE">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《规范》第一百一十一条</w:t>
            </w:r>
          </w:p>
        </w:tc>
      </w:tr>
      <w:tr w14:paraId="150C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1077F0ED">
            <w:pPr>
              <w:jc w:val="center"/>
              <w:rPr>
                <w:rFonts w:eastAsia="仿宋_GB2312"/>
                <w:color w:val="000000"/>
                <w:sz w:val="22"/>
                <w:szCs w:val="22"/>
              </w:rPr>
            </w:pPr>
          </w:p>
        </w:tc>
        <w:tc>
          <w:tcPr>
            <w:tcW w:w="326" w:type="pct"/>
            <w:noWrap w:val="0"/>
            <w:vAlign w:val="center"/>
          </w:tcPr>
          <w:p w14:paraId="0731CE4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174</w:t>
            </w:r>
          </w:p>
        </w:tc>
        <w:tc>
          <w:tcPr>
            <w:tcW w:w="523" w:type="pct"/>
            <w:noWrap w:val="0"/>
            <w:vAlign w:val="center"/>
          </w:tcPr>
          <w:p w14:paraId="51BBB274">
            <w:pPr>
              <w:widowControl/>
              <w:jc w:val="center"/>
              <w:textAlignment w:val="center"/>
              <w:rPr>
                <w:rFonts w:eastAsia="仿宋_GB2312"/>
                <w:color w:val="000000"/>
                <w:sz w:val="22"/>
                <w:szCs w:val="22"/>
              </w:rPr>
            </w:pPr>
            <w:r>
              <w:rPr>
                <w:rFonts w:eastAsia="仿宋_GB2312"/>
                <w:color w:val="000000"/>
                <w:kern w:val="0"/>
                <w:sz w:val="22"/>
                <w:szCs w:val="22"/>
                <w:lang w:bidi="ar"/>
              </w:rPr>
              <w:t>12.5.2</w:t>
            </w:r>
          </w:p>
        </w:tc>
        <w:tc>
          <w:tcPr>
            <w:tcW w:w="2496" w:type="pct"/>
            <w:noWrap w:val="0"/>
            <w:vAlign w:val="center"/>
          </w:tcPr>
          <w:p w14:paraId="1CDEB062">
            <w:pPr>
              <w:widowControl/>
              <w:jc w:val="left"/>
              <w:textAlignment w:val="center"/>
              <w:rPr>
                <w:rFonts w:eastAsia="仿宋_GB2312"/>
                <w:color w:val="000000"/>
                <w:sz w:val="22"/>
                <w:szCs w:val="22"/>
              </w:rPr>
            </w:pPr>
            <w:r>
              <w:rPr>
                <w:rFonts w:eastAsia="仿宋_GB2312"/>
                <w:color w:val="000000"/>
                <w:kern w:val="0"/>
                <w:sz w:val="22"/>
                <w:szCs w:val="22"/>
                <w:lang w:bidi="ar"/>
              </w:rPr>
              <w:t>受托方应当开展试生产以及相应验证与确认活动，试生产应当包括所转移的全部生产和质量控制过程。</w:t>
            </w:r>
          </w:p>
        </w:tc>
        <w:tc>
          <w:tcPr>
            <w:tcW w:w="407" w:type="pct"/>
            <w:noWrap w:val="0"/>
            <w:vAlign w:val="center"/>
          </w:tcPr>
          <w:p w14:paraId="190F09B5">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C8E11AF">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《规范》第一百一十一条</w:t>
            </w:r>
          </w:p>
        </w:tc>
      </w:tr>
      <w:tr w14:paraId="13FA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44B64724">
            <w:pPr>
              <w:jc w:val="center"/>
              <w:rPr>
                <w:rFonts w:eastAsia="仿宋_GB2312"/>
                <w:color w:val="000000"/>
                <w:sz w:val="22"/>
                <w:szCs w:val="22"/>
              </w:rPr>
            </w:pPr>
          </w:p>
        </w:tc>
        <w:tc>
          <w:tcPr>
            <w:tcW w:w="326" w:type="pct"/>
            <w:noWrap w:val="0"/>
            <w:vAlign w:val="center"/>
          </w:tcPr>
          <w:p w14:paraId="0360547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175</w:t>
            </w:r>
          </w:p>
        </w:tc>
        <w:tc>
          <w:tcPr>
            <w:tcW w:w="523" w:type="pct"/>
            <w:noWrap w:val="0"/>
            <w:vAlign w:val="center"/>
          </w:tcPr>
          <w:p w14:paraId="3D2CBE75">
            <w:pPr>
              <w:widowControl/>
              <w:jc w:val="center"/>
              <w:textAlignment w:val="center"/>
              <w:rPr>
                <w:rFonts w:eastAsia="仿宋_GB2312"/>
                <w:color w:val="000000"/>
                <w:sz w:val="22"/>
                <w:szCs w:val="22"/>
              </w:rPr>
            </w:pPr>
            <w:r>
              <w:rPr>
                <w:rFonts w:eastAsia="仿宋_GB2312"/>
                <w:color w:val="000000"/>
                <w:kern w:val="0"/>
                <w:sz w:val="22"/>
                <w:szCs w:val="22"/>
                <w:lang w:bidi="ar"/>
              </w:rPr>
              <w:t>12.6.1</w:t>
            </w:r>
          </w:p>
        </w:tc>
        <w:tc>
          <w:tcPr>
            <w:tcW w:w="2496" w:type="pct"/>
            <w:noWrap w:val="0"/>
            <w:vAlign w:val="center"/>
          </w:tcPr>
          <w:p w14:paraId="6FA443FC">
            <w:pPr>
              <w:widowControl/>
              <w:jc w:val="left"/>
              <w:textAlignment w:val="center"/>
              <w:rPr>
                <w:rFonts w:eastAsia="仿宋_GB2312"/>
                <w:color w:val="000000"/>
                <w:sz w:val="22"/>
                <w:szCs w:val="22"/>
              </w:rPr>
            </w:pPr>
            <w:r>
              <w:rPr>
                <w:rFonts w:eastAsia="仿宋_GB2312"/>
                <w:color w:val="000000"/>
                <w:kern w:val="0"/>
                <w:sz w:val="22"/>
                <w:szCs w:val="22"/>
                <w:lang w:bidi="ar"/>
              </w:rPr>
              <w:t>委托方设计变更、采购变更等应当及时通知受托方，并监督其执行变更要求；应当采取有效措施，确保及时获知受托方发生的可能影响产品质量的变更，并与受托方开展联合评估。</w:t>
            </w:r>
          </w:p>
        </w:tc>
        <w:tc>
          <w:tcPr>
            <w:tcW w:w="407" w:type="pct"/>
            <w:noWrap w:val="0"/>
            <w:vAlign w:val="center"/>
          </w:tcPr>
          <w:p w14:paraId="653F62E7">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80C1C3A">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《规范》第一百一十二条</w:t>
            </w:r>
          </w:p>
        </w:tc>
      </w:tr>
      <w:tr w14:paraId="38DC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09E298F4">
            <w:pPr>
              <w:jc w:val="center"/>
              <w:rPr>
                <w:rFonts w:eastAsia="仿宋_GB2312"/>
                <w:color w:val="000000"/>
                <w:sz w:val="22"/>
                <w:szCs w:val="22"/>
              </w:rPr>
            </w:pPr>
          </w:p>
        </w:tc>
        <w:tc>
          <w:tcPr>
            <w:tcW w:w="326" w:type="pct"/>
            <w:noWrap w:val="0"/>
            <w:vAlign w:val="center"/>
          </w:tcPr>
          <w:p w14:paraId="044F8E9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176</w:t>
            </w:r>
          </w:p>
        </w:tc>
        <w:tc>
          <w:tcPr>
            <w:tcW w:w="523" w:type="pct"/>
            <w:noWrap w:val="0"/>
            <w:vAlign w:val="center"/>
          </w:tcPr>
          <w:p w14:paraId="5F88B9FD">
            <w:pPr>
              <w:widowControl/>
              <w:jc w:val="center"/>
              <w:textAlignment w:val="center"/>
              <w:rPr>
                <w:rFonts w:eastAsia="仿宋_GB2312"/>
                <w:color w:val="000000"/>
                <w:sz w:val="22"/>
                <w:szCs w:val="22"/>
              </w:rPr>
            </w:pPr>
            <w:r>
              <w:rPr>
                <w:rFonts w:eastAsia="仿宋_GB2312"/>
                <w:color w:val="000000"/>
                <w:kern w:val="0"/>
                <w:sz w:val="22"/>
                <w:szCs w:val="22"/>
                <w:lang w:bidi="ar"/>
              </w:rPr>
              <w:t>12.6.2</w:t>
            </w:r>
          </w:p>
        </w:tc>
        <w:tc>
          <w:tcPr>
            <w:tcW w:w="2496" w:type="pct"/>
            <w:noWrap w:val="0"/>
            <w:vAlign w:val="center"/>
          </w:tcPr>
          <w:p w14:paraId="1EC7B9BF">
            <w:pPr>
              <w:widowControl/>
              <w:jc w:val="left"/>
              <w:textAlignment w:val="center"/>
              <w:rPr>
                <w:rFonts w:eastAsia="仿宋_GB2312"/>
                <w:color w:val="000000"/>
                <w:sz w:val="22"/>
                <w:szCs w:val="22"/>
              </w:rPr>
            </w:pPr>
            <w:r>
              <w:rPr>
                <w:rFonts w:eastAsia="仿宋_GB2312"/>
                <w:color w:val="000000"/>
                <w:kern w:val="0"/>
                <w:sz w:val="22"/>
                <w:szCs w:val="22"/>
                <w:lang w:bidi="ar"/>
              </w:rPr>
              <w:t>受托方应当落实委托方的变更要求，并结合生产质量管理情况向委托方反馈变更需求。</w:t>
            </w:r>
          </w:p>
        </w:tc>
        <w:tc>
          <w:tcPr>
            <w:tcW w:w="407" w:type="pct"/>
            <w:noWrap w:val="0"/>
            <w:vAlign w:val="center"/>
          </w:tcPr>
          <w:p w14:paraId="7A27182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62F5E851">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《规范》第一百一十二条</w:t>
            </w:r>
          </w:p>
        </w:tc>
      </w:tr>
      <w:tr w14:paraId="3AD9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jc w:val="center"/>
        </w:trPr>
        <w:tc>
          <w:tcPr>
            <w:tcW w:w="589" w:type="pct"/>
            <w:vMerge w:val="continue"/>
            <w:noWrap w:val="0"/>
            <w:vAlign w:val="center"/>
          </w:tcPr>
          <w:p w14:paraId="518A97F8">
            <w:pPr>
              <w:jc w:val="center"/>
              <w:rPr>
                <w:rFonts w:eastAsia="仿宋_GB2312"/>
                <w:color w:val="000000"/>
                <w:sz w:val="22"/>
                <w:szCs w:val="22"/>
              </w:rPr>
            </w:pPr>
          </w:p>
        </w:tc>
        <w:tc>
          <w:tcPr>
            <w:tcW w:w="326" w:type="pct"/>
            <w:noWrap w:val="0"/>
            <w:vAlign w:val="center"/>
          </w:tcPr>
          <w:p w14:paraId="4F1AA07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177</w:t>
            </w:r>
          </w:p>
        </w:tc>
        <w:tc>
          <w:tcPr>
            <w:tcW w:w="523" w:type="pct"/>
            <w:noWrap w:val="0"/>
            <w:vAlign w:val="center"/>
          </w:tcPr>
          <w:p w14:paraId="4AD6A204">
            <w:pPr>
              <w:widowControl/>
              <w:jc w:val="center"/>
              <w:textAlignment w:val="center"/>
              <w:rPr>
                <w:rFonts w:eastAsia="仿宋_GB2312"/>
                <w:color w:val="000000"/>
                <w:sz w:val="22"/>
                <w:szCs w:val="22"/>
              </w:rPr>
            </w:pPr>
            <w:r>
              <w:rPr>
                <w:rFonts w:eastAsia="仿宋_GB2312"/>
                <w:color w:val="000000"/>
                <w:kern w:val="0"/>
                <w:sz w:val="22"/>
                <w:szCs w:val="22"/>
                <w:lang w:bidi="ar"/>
              </w:rPr>
              <w:t>12.7.1</w:t>
            </w:r>
          </w:p>
        </w:tc>
        <w:tc>
          <w:tcPr>
            <w:tcW w:w="2496" w:type="pct"/>
            <w:noWrap w:val="0"/>
            <w:vAlign w:val="center"/>
          </w:tcPr>
          <w:p w14:paraId="445FBB33">
            <w:pPr>
              <w:widowControl/>
              <w:jc w:val="left"/>
              <w:textAlignment w:val="center"/>
              <w:rPr>
                <w:rFonts w:eastAsia="仿宋_GB2312"/>
                <w:color w:val="000000"/>
                <w:sz w:val="22"/>
                <w:szCs w:val="22"/>
              </w:rPr>
            </w:pPr>
            <w:r>
              <w:rPr>
                <w:rFonts w:eastAsia="仿宋_GB2312"/>
                <w:color w:val="000000"/>
                <w:kern w:val="0"/>
                <w:sz w:val="22"/>
                <w:szCs w:val="22"/>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407" w:type="pct"/>
            <w:noWrap w:val="0"/>
            <w:vAlign w:val="center"/>
          </w:tcPr>
          <w:p w14:paraId="1B1F96D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5A2EC65">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《规范》第一百一十三条</w:t>
            </w:r>
          </w:p>
        </w:tc>
      </w:tr>
      <w:tr w14:paraId="741C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589" w:type="pct"/>
            <w:vMerge w:val="continue"/>
            <w:noWrap w:val="0"/>
            <w:vAlign w:val="center"/>
          </w:tcPr>
          <w:p w14:paraId="0E315FAC">
            <w:pPr>
              <w:jc w:val="center"/>
              <w:rPr>
                <w:rFonts w:eastAsia="仿宋_GB2312"/>
                <w:color w:val="000000"/>
                <w:sz w:val="22"/>
                <w:szCs w:val="22"/>
              </w:rPr>
            </w:pPr>
          </w:p>
        </w:tc>
        <w:tc>
          <w:tcPr>
            <w:tcW w:w="326" w:type="pct"/>
            <w:noWrap w:val="0"/>
            <w:vAlign w:val="center"/>
          </w:tcPr>
          <w:p w14:paraId="43A956E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178</w:t>
            </w:r>
          </w:p>
        </w:tc>
        <w:tc>
          <w:tcPr>
            <w:tcW w:w="523" w:type="pct"/>
            <w:noWrap w:val="0"/>
            <w:vAlign w:val="center"/>
          </w:tcPr>
          <w:p w14:paraId="2FDE1B30">
            <w:pPr>
              <w:widowControl/>
              <w:jc w:val="center"/>
              <w:textAlignment w:val="center"/>
              <w:rPr>
                <w:rFonts w:eastAsia="仿宋_GB2312"/>
                <w:color w:val="000000"/>
                <w:sz w:val="22"/>
                <w:szCs w:val="22"/>
              </w:rPr>
            </w:pPr>
            <w:r>
              <w:rPr>
                <w:rFonts w:eastAsia="仿宋_GB2312"/>
                <w:color w:val="000000"/>
                <w:kern w:val="0"/>
                <w:sz w:val="22"/>
                <w:szCs w:val="22"/>
                <w:lang w:bidi="ar"/>
              </w:rPr>
              <w:t>12.7.2</w:t>
            </w:r>
          </w:p>
        </w:tc>
        <w:tc>
          <w:tcPr>
            <w:tcW w:w="2496" w:type="pct"/>
            <w:noWrap w:val="0"/>
            <w:vAlign w:val="center"/>
          </w:tcPr>
          <w:p w14:paraId="678E0BB5">
            <w:pPr>
              <w:widowControl/>
              <w:jc w:val="left"/>
              <w:textAlignment w:val="center"/>
              <w:rPr>
                <w:rFonts w:eastAsia="仿宋_GB2312"/>
                <w:color w:val="000000"/>
                <w:sz w:val="22"/>
                <w:szCs w:val="22"/>
              </w:rPr>
            </w:pPr>
            <w:r>
              <w:rPr>
                <w:rFonts w:eastAsia="仿宋_GB2312"/>
                <w:color w:val="000000"/>
                <w:kern w:val="0"/>
                <w:sz w:val="22"/>
                <w:szCs w:val="22"/>
                <w:lang w:bidi="ar"/>
              </w:rPr>
              <w:t>受托方应当建立生产放行规程，明确生产放行标准、条件，对医疗器械生产过程记录和质量控制记录进行审核，符合标准、条件的，经授权的放行人员签字后方可出厂。</w:t>
            </w:r>
          </w:p>
        </w:tc>
        <w:tc>
          <w:tcPr>
            <w:tcW w:w="407" w:type="pct"/>
            <w:noWrap w:val="0"/>
            <w:vAlign w:val="center"/>
          </w:tcPr>
          <w:p w14:paraId="7020981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772D4E4">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《规范》第一百一十三条</w:t>
            </w:r>
          </w:p>
        </w:tc>
      </w:tr>
      <w:tr w14:paraId="7CF2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589" w:type="pct"/>
            <w:vMerge w:val="continue"/>
            <w:noWrap w:val="0"/>
            <w:vAlign w:val="center"/>
          </w:tcPr>
          <w:p w14:paraId="264A21A5">
            <w:pPr>
              <w:jc w:val="center"/>
              <w:rPr>
                <w:rFonts w:eastAsia="仿宋_GB2312"/>
                <w:color w:val="000000"/>
                <w:sz w:val="22"/>
                <w:szCs w:val="22"/>
              </w:rPr>
            </w:pPr>
          </w:p>
        </w:tc>
        <w:tc>
          <w:tcPr>
            <w:tcW w:w="326" w:type="pct"/>
            <w:noWrap w:val="0"/>
            <w:vAlign w:val="center"/>
          </w:tcPr>
          <w:p w14:paraId="1946AFB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179</w:t>
            </w:r>
          </w:p>
        </w:tc>
        <w:tc>
          <w:tcPr>
            <w:tcW w:w="523" w:type="pct"/>
            <w:noWrap w:val="0"/>
            <w:vAlign w:val="center"/>
          </w:tcPr>
          <w:p w14:paraId="16E6FE17">
            <w:pPr>
              <w:widowControl/>
              <w:jc w:val="center"/>
              <w:textAlignment w:val="center"/>
              <w:rPr>
                <w:rFonts w:eastAsia="仿宋_GB2312"/>
                <w:color w:val="000000"/>
                <w:sz w:val="22"/>
                <w:szCs w:val="22"/>
              </w:rPr>
            </w:pPr>
            <w:r>
              <w:rPr>
                <w:rFonts w:eastAsia="仿宋_GB2312"/>
                <w:color w:val="000000"/>
                <w:kern w:val="0"/>
                <w:sz w:val="22"/>
                <w:szCs w:val="22"/>
                <w:lang w:bidi="ar"/>
              </w:rPr>
              <w:t>12.8.1</w:t>
            </w:r>
          </w:p>
        </w:tc>
        <w:tc>
          <w:tcPr>
            <w:tcW w:w="2496" w:type="pct"/>
            <w:noWrap w:val="0"/>
            <w:vAlign w:val="center"/>
          </w:tcPr>
          <w:p w14:paraId="79A8ACBA">
            <w:pPr>
              <w:widowControl/>
              <w:jc w:val="left"/>
              <w:textAlignment w:val="center"/>
              <w:rPr>
                <w:rFonts w:eastAsia="仿宋_GB2312"/>
                <w:color w:val="000000"/>
                <w:sz w:val="22"/>
                <w:szCs w:val="22"/>
              </w:rPr>
            </w:pPr>
            <w:r>
              <w:rPr>
                <w:rFonts w:eastAsia="仿宋_GB2312"/>
                <w:color w:val="000000"/>
                <w:kern w:val="0"/>
                <w:sz w:val="22"/>
                <w:szCs w:val="22"/>
                <w:lang w:bidi="ar"/>
              </w:rPr>
              <w:t>受托方应当及时向委托方报告生产过程中出现的可能影响产品质量的偏差、变更、异常情况，并保留处理记录。</w:t>
            </w:r>
          </w:p>
        </w:tc>
        <w:tc>
          <w:tcPr>
            <w:tcW w:w="407" w:type="pct"/>
            <w:noWrap w:val="0"/>
            <w:vAlign w:val="center"/>
          </w:tcPr>
          <w:p w14:paraId="45932ED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159BE6A">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《规范》第一百一十四条</w:t>
            </w:r>
          </w:p>
        </w:tc>
      </w:tr>
      <w:tr w14:paraId="27BC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589" w:type="pct"/>
            <w:vMerge w:val="continue"/>
            <w:noWrap w:val="0"/>
            <w:vAlign w:val="center"/>
          </w:tcPr>
          <w:p w14:paraId="078A8D13">
            <w:pPr>
              <w:jc w:val="center"/>
              <w:rPr>
                <w:rFonts w:eastAsia="仿宋_GB2312"/>
                <w:color w:val="000000"/>
                <w:sz w:val="22"/>
                <w:szCs w:val="22"/>
              </w:rPr>
            </w:pPr>
          </w:p>
        </w:tc>
        <w:tc>
          <w:tcPr>
            <w:tcW w:w="326" w:type="pct"/>
            <w:noWrap w:val="0"/>
            <w:vAlign w:val="center"/>
          </w:tcPr>
          <w:p w14:paraId="1C09527A">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180</w:t>
            </w:r>
          </w:p>
        </w:tc>
        <w:tc>
          <w:tcPr>
            <w:tcW w:w="523" w:type="pct"/>
            <w:noWrap w:val="0"/>
            <w:vAlign w:val="center"/>
          </w:tcPr>
          <w:p w14:paraId="50D3E256">
            <w:pPr>
              <w:widowControl/>
              <w:jc w:val="center"/>
              <w:textAlignment w:val="center"/>
              <w:rPr>
                <w:rFonts w:eastAsia="仿宋_GB2312"/>
                <w:color w:val="000000"/>
                <w:sz w:val="22"/>
                <w:szCs w:val="22"/>
              </w:rPr>
            </w:pPr>
            <w:r>
              <w:rPr>
                <w:rFonts w:eastAsia="仿宋_GB2312"/>
                <w:color w:val="000000"/>
                <w:kern w:val="0"/>
                <w:sz w:val="22"/>
                <w:szCs w:val="22"/>
                <w:lang w:bidi="ar"/>
              </w:rPr>
              <w:t>12.9.1</w:t>
            </w:r>
          </w:p>
        </w:tc>
        <w:tc>
          <w:tcPr>
            <w:tcW w:w="2496" w:type="pct"/>
            <w:noWrap w:val="0"/>
            <w:vAlign w:val="center"/>
          </w:tcPr>
          <w:p w14:paraId="74B3E93F">
            <w:pPr>
              <w:widowControl/>
              <w:jc w:val="left"/>
              <w:textAlignment w:val="center"/>
              <w:rPr>
                <w:rFonts w:eastAsia="仿宋_GB2312"/>
                <w:color w:val="000000"/>
                <w:sz w:val="22"/>
                <w:szCs w:val="22"/>
              </w:rPr>
            </w:pPr>
            <w:r>
              <w:rPr>
                <w:rFonts w:eastAsia="仿宋_GB2312"/>
                <w:color w:val="000000"/>
                <w:kern w:val="0"/>
                <w:sz w:val="22"/>
                <w:szCs w:val="22"/>
                <w:lang w:bidi="ar"/>
              </w:rPr>
              <w:t>产品实现过程中涉及外协加工的，企业应当建立外协加工控制程序，对外协加工过程实施控制，确保满足相关法律法规要求。</w:t>
            </w:r>
          </w:p>
        </w:tc>
        <w:tc>
          <w:tcPr>
            <w:tcW w:w="407" w:type="pct"/>
            <w:noWrap w:val="0"/>
            <w:vAlign w:val="center"/>
          </w:tcPr>
          <w:p w14:paraId="04B22ED2">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475B140">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《规范》第一百一十五条</w:t>
            </w:r>
          </w:p>
        </w:tc>
      </w:tr>
      <w:tr w14:paraId="6A1DD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589" w:type="pct"/>
            <w:vMerge w:val="continue"/>
            <w:noWrap w:val="0"/>
            <w:vAlign w:val="center"/>
          </w:tcPr>
          <w:p w14:paraId="7BEAEF36">
            <w:pPr>
              <w:jc w:val="center"/>
              <w:rPr>
                <w:rFonts w:eastAsia="仿宋_GB2312"/>
                <w:color w:val="000000"/>
                <w:sz w:val="22"/>
                <w:szCs w:val="22"/>
              </w:rPr>
            </w:pPr>
          </w:p>
        </w:tc>
        <w:tc>
          <w:tcPr>
            <w:tcW w:w="326" w:type="pct"/>
            <w:noWrap w:val="0"/>
            <w:vAlign w:val="center"/>
          </w:tcPr>
          <w:p w14:paraId="77ACDFB6">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181</w:t>
            </w:r>
          </w:p>
        </w:tc>
        <w:tc>
          <w:tcPr>
            <w:tcW w:w="523" w:type="pct"/>
            <w:noWrap w:val="0"/>
            <w:vAlign w:val="center"/>
          </w:tcPr>
          <w:p w14:paraId="682910DF">
            <w:pPr>
              <w:widowControl/>
              <w:jc w:val="center"/>
              <w:textAlignment w:val="center"/>
              <w:rPr>
                <w:rFonts w:eastAsia="仿宋_GB2312"/>
                <w:color w:val="000000"/>
                <w:sz w:val="22"/>
                <w:szCs w:val="22"/>
              </w:rPr>
            </w:pPr>
            <w:r>
              <w:rPr>
                <w:rFonts w:eastAsia="仿宋_GB2312"/>
                <w:color w:val="000000"/>
                <w:kern w:val="0"/>
                <w:sz w:val="22"/>
                <w:szCs w:val="22"/>
                <w:lang w:bidi="ar"/>
              </w:rPr>
              <w:t>12.10.1</w:t>
            </w:r>
          </w:p>
        </w:tc>
        <w:tc>
          <w:tcPr>
            <w:tcW w:w="2496" w:type="pct"/>
            <w:noWrap w:val="0"/>
            <w:vAlign w:val="center"/>
          </w:tcPr>
          <w:p w14:paraId="281282BF">
            <w:pPr>
              <w:widowControl/>
              <w:jc w:val="left"/>
              <w:textAlignment w:val="center"/>
              <w:rPr>
                <w:rFonts w:eastAsia="仿宋_GB2312"/>
                <w:color w:val="000000"/>
                <w:sz w:val="22"/>
                <w:szCs w:val="22"/>
              </w:rPr>
            </w:pPr>
            <w:r>
              <w:rPr>
                <w:rFonts w:eastAsia="仿宋_GB2312"/>
                <w:color w:val="000000"/>
                <w:kern w:val="0"/>
                <w:sz w:val="22"/>
                <w:szCs w:val="22"/>
                <w:lang w:bidi="ar"/>
              </w:rPr>
              <w:t>企业至少应当将外协加工方作为供应商进行管理，对外协加工方加工能力、质量保证能力、风险管理能力等进行评估。</w:t>
            </w:r>
          </w:p>
        </w:tc>
        <w:tc>
          <w:tcPr>
            <w:tcW w:w="407" w:type="pct"/>
            <w:noWrap w:val="0"/>
            <w:vAlign w:val="center"/>
          </w:tcPr>
          <w:p w14:paraId="61ACCE5D">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032475A">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《规范》第一百一十六条</w:t>
            </w:r>
          </w:p>
        </w:tc>
      </w:tr>
      <w:tr w14:paraId="007DF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jc w:val="center"/>
        </w:trPr>
        <w:tc>
          <w:tcPr>
            <w:tcW w:w="589" w:type="pct"/>
            <w:vMerge w:val="continue"/>
            <w:noWrap w:val="0"/>
            <w:vAlign w:val="center"/>
          </w:tcPr>
          <w:p w14:paraId="2165A3A9">
            <w:pPr>
              <w:jc w:val="center"/>
              <w:rPr>
                <w:rFonts w:eastAsia="仿宋_GB2312"/>
                <w:color w:val="000000"/>
                <w:sz w:val="22"/>
                <w:szCs w:val="22"/>
              </w:rPr>
            </w:pPr>
          </w:p>
        </w:tc>
        <w:tc>
          <w:tcPr>
            <w:tcW w:w="326" w:type="pct"/>
            <w:noWrap w:val="0"/>
            <w:vAlign w:val="center"/>
          </w:tcPr>
          <w:p w14:paraId="38A0AC7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182</w:t>
            </w:r>
          </w:p>
        </w:tc>
        <w:tc>
          <w:tcPr>
            <w:tcW w:w="523" w:type="pct"/>
            <w:noWrap w:val="0"/>
            <w:vAlign w:val="center"/>
          </w:tcPr>
          <w:p w14:paraId="52C43767">
            <w:pPr>
              <w:widowControl/>
              <w:jc w:val="center"/>
              <w:textAlignment w:val="center"/>
              <w:rPr>
                <w:rFonts w:eastAsia="仿宋_GB2312"/>
                <w:color w:val="000000"/>
                <w:sz w:val="22"/>
                <w:szCs w:val="22"/>
              </w:rPr>
            </w:pPr>
            <w:r>
              <w:rPr>
                <w:rFonts w:eastAsia="仿宋_GB2312"/>
                <w:color w:val="000000"/>
                <w:kern w:val="0"/>
                <w:sz w:val="22"/>
                <w:szCs w:val="22"/>
                <w:lang w:bidi="ar"/>
              </w:rPr>
              <w:t>12.10.2</w:t>
            </w:r>
          </w:p>
        </w:tc>
        <w:tc>
          <w:tcPr>
            <w:tcW w:w="2496" w:type="pct"/>
            <w:noWrap w:val="0"/>
            <w:vAlign w:val="center"/>
          </w:tcPr>
          <w:p w14:paraId="07B889A1">
            <w:pPr>
              <w:widowControl/>
              <w:jc w:val="left"/>
              <w:textAlignment w:val="center"/>
              <w:rPr>
                <w:rFonts w:eastAsia="仿宋_GB2312"/>
                <w:color w:val="000000"/>
                <w:sz w:val="22"/>
                <w:szCs w:val="22"/>
              </w:rPr>
            </w:pPr>
            <w:r>
              <w:rPr>
                <w:rFonts w:eastAsia="仿宋_GB2312"/>
                <w:color w:val="000000"/>
                <w:kern w:val="0"/>
                <w:sz w:val="22"/>
                <w:szCs w:val="22"/>
                <w:lang w:bidi="ar"/>
              </w:rPr>
              <w:t>双方应当签订外协加工质量协议，明确外协加工的内容、质量标准或者技术要求、验收准则和双方责任，以及相关工艺、验证与确认、放行条件、变更和沟通机制等要求。</w:t>
            </w:r>
          </w:p>
        </w:tc>
        <w:tc>
          <w:tcPr>
            <w:tcW w:w="407" w:type="pct"/>
            <w:noWrap w:val="0"/>
            <w:vAlign w:val="center"/>
          </w:tcPr>
          <w:p w14:paraId="19532E1B">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26C73B0">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《规范》第一百一十六条</w:t>
            </w:r>
          </w:p>
        </w:tc>
      </w:tr>
      <w:tr w14:paraId="3CCE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589" w:type="pct"/>
            <w:vMerge w:val="restart"/>
            <w:noWrap w:val="0"/>
            <w:vAlign w:val="center"/>
          </w:tcPr>
          <w:p w14:paraId="19C59F51">
            <w:pPr>
              <w:widowControl/>
              <w:jc w:val="center"/>
              <w:textAlignment w:val="center"/>
              <w:rPr>
                <w:rFonts w:eastAsia="仿宋_GB2312"/>
                <w:color w:val="000000"/>
                <w:sz w:val="22"/>
                <w:szCs w:val="22"/>
              </w:rPr>
            </w:pPr>
            <w:r>
              <w:rPr>
                <w:rFonts w:eastAsia="仿宋_GB2312"/>
                <w:color w:val="000000"/>
                <w:kern w:val="0"/>
                <w:sz w:val="22"/>
                <w:szCs w:val="22"/>
                <w:lang w:bidi="ar"/>
              </w:rPr>
              <w:t>第十三章 销售与售后服务</w:t>
            </w:r>
          </w:p>
        </w:tc>
        <w:tc>
          <w:tcPr>
            <w:tcW w:w="326" w:type="pct"/>
            <w:noWrap w:val="0"/>
            <w:vAlign w:val="center"/>
          </w:tcPr>
          <w:p w14:paraId="3DE19DC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183</w:t>
            </w:r>
          </w:p>
        </w:tc>
        <w:tc>
          <w:tcPr>
            <w:tcW w:w="523" w:type="pct"/>
            <w:noWrap w:val="0"/>
            <w:vAlign w:val="center"/>
          </w:tcPr>
          <w:p w14:paraId="7A8AC168">
            <w:pPr>
              <w:widowControl/>
              <w:jc w:val="center"/>
              <w:textAlignment w:val="center"/>
              <w:rPr>
                <w:rFonts w:eastAsia="仿宋_GB2312"/>
                <w:color w:val="000000"/>
                <w:sz w:val="22"/>
                <w:szCs w:val="22"/>
              </w:rPr>
            </w:pPr>
            <w:r>
              <w:rPr>
                <w:rFonts w:eastAsia="仿宋_GB2312"/>
                <w:color w:val="000000"/>
                <w:kern w:val="0"/>
                <w:sz w:val="22"/>
                <w:szCs w:val="22"/>
                <w:lang w:bidi="ar"/>
              </w:rPr>
              <w:t>13.1.1</w:t>
            </w:r>
          </w:p>
        </w:tc>
        <w:tc>
          <w:tcPr>
            <w:tcW w:w="2496" w:type="pct"/>
            <w:noWrap w:val="0"/>
            <w:vAlign w:val="center"/>
          </w:tcPr>
          <w:p w14:paraId="7AAF56DB">
            <w:pPr>
              <w:widowControl/>
              <w:jc w:val="left"/>
              <w:textAlignment w:val="center"/>
              <w:rPr>
                <w:rFonts w:eastAsia="仿宋_GB2312"/>
                <w:color w:val="000000"/>
                <w:sz w:val="22"/>
                <w:szCs w:val="22"/>
              </w:rPr>
            </w:pPr>
            <w:r>
              <w:rPr>
                <w:rFonts w:eastAsia="仿宋_GB2312"/>
                <w:color w:val="000000"/>
                <w:kern w:val="0"/>
                <w:sz w:val="22"/>
                <w:szCs w:val="22"/>
                <w:lang w:bidi="ar"/>
              </w:rPr>
              <w:t>产品销售与售后服务等活动应当符合医疗器械相关法律、法规、规章和规范要求。</w:t>
            </w:r>
          </w:p>
        </w:tc>
        <w:tc>
          <w:tcPr>
            <w:tcW w:w="407" w:type="pct"/>
            <w:noWrap w:val="0"/>
            <w:vAlign w:val="center"/>
          </w:tcPr>
          <w:p w14:paraId="7EE9D97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A4C0D69">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《规范》第一百一十七条</w:t>
            </w:r>
          </w:p>
        </w:tc>
      </w:tr>
      <w:tr w14:paraId="6AEA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89" w:type="pct"/>
            <w:vMerge w:val="continue"/>
            <w:noWrap w:val="0"/>
            <w:vAlign w:val="center"/>
          </w:tcPr>
          <w:p w14:paraId="0DFFDC05">
            <w:pPr>
              <w:jc w:val="center"/>
              <w:rPr>
                <w:rFonts w:eastAsia="仿宋_GB2312"/>
                <w:color w:val="000000"/>
                <w:sz w:val="22"/>
                <w:szCs w:val="22"/>
              </w:rPr>
            </w:pPr>
          </w:p>
        </w:tc>
        <w:tc>
          <w:tcPr>
            <w:tcW w:w="326" w:type="pct"/>
            <w:noWrap w:val="0"/>
            <w:vAlign w:val="center"/>
          </w:tcPr>
          <w:p w14:paraId="7C97D96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184</w:t>
            </w:r>
          </w:p>
        </w:tc>
        <w:tc>
          <w:tcPr>
            <w:tcW w:w="523" w:type="pct"/>
            <w:noWrap w:val="0"/>
            <w:vAlign w:val="center"/>
          </w:tcPr>
          <w:p w14:paraId="314D8FDB">
            <w:pPr>
              <w:widowControl/>
              <w:jc w:val="center"/>
              <w:textAlignment w:val="center"/>
              <w:rPr>
                <w:rFonts w:eastAsia="仿宋_GB2312"/>
                <w:color w:val="000000"/>
                <w:sz w:val="22"/>
                <w:szCs w:val="22"/>
              </w:rPr>
            </w:pPr>
            <w:r>
              <w:rPr>
                <w:rFonts w:eastAsia="仿宋_GB2312"/>
                <w:color w:val="000000"/>
                <w:kern w:val="0"/>
                <w:sz w:val="22"/>
                <w:szCs w:val="22"/>
                <w:lang w:bidi="ar"/>
              </w:rPr>
              <w:t>13.1.2</w:t>
            </w:r>
          </w:p>
        </w:tc>
        <w:tc>
          <w:tcPr>
            <w:tcW w:w="2496" w:type="pct"/>
            <w:noWrap w:val="0"/>
            <w:vAlign w:val="center"/>
          </w:tcPr>
          <w:p w14:paraId="219ECFF2">
            <w:pPr>
              <w:widowControl/>
              <w:jc w:val="left"/>
              <w:textAlignment w:val="center"/>
              <w:rPr>
                <w:rFonts w:eastAsia="仿宋_GB2312"/>
                <w:color w:val="000000"/>
                <w:sz w:val="22"/>
                <w:szCs w:val="22"/>
              </w:rPr>
            </w:pPr>
            <w:r>
              <w:rPr>
                <w:rFonts w:eastAsia="仿宋_GB2312"/>
                <w:color w:val="000000"/>
                <w:kern w:val="0"/>
                <w:sz w:val="22"/>
                <w:szCs w:val="22"/>
                <w:lang w:bidi="ar"/>
              </w:rPr>
              <w:t>企业应当保留产品销售记录，并满足追溯要求。</w:t>
            </w:r>
          </w:p>
        </w:tc>
        <w:tc>
          <w:tcPr>
            <w:tcW w:w="407" w:type="pct"/>
            <w:noWrap w:val="0"/>
            <w:vAlign w:val="center"/>
          </w:tcPr>
          <w:p w14:paraId="545AA37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99E9F3C">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《规范》第一百一十七条</w:t>
            </w:r>
          </w:p>
        </w:tc>
      </w:tr>
      <w:tr w14:paraId="67A1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589" w:type="pct"/>
            <w:vMerge w:val="continue"/>
            <w:noWrap w:val="0"/>
            <w:vAlign w:val="center"/>
          </w:tcPr>
          <w:p w14:paraId="2141B178">
            <w:pPr>
              <w:jc w:val="center"/>
              <w:rPr>
                <w:rFonts w:eastAsia="仿宋_GB2312"/>
                <w:color w:val="000000"/>
                <w:sz w:val="22"/>
                <w:szCs w:val="22"/>
              </w:rPr>
            </w:pPr>
          </w:p>
        </w:tc>
        <w:tc>
          <w:tcPr>
            <w:tcW w:w="326" w:type="pct"/>
            <w:noWrap w:val="0"/>
            <w:vAlign w:val="center"/>
          </w:tcPr>
          <w:p w14:paraId="4279C7D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185</w:t>
            </w:r>
          </w:p>
        </w:tc>
        <w:tc>
          <w:tcPr>
            <w:tcW w:w="523" w:type="pct"/>
            <w:noWrap w:val="0"/>
            <w:vAlign w:val="center"/>
          </w:tcPr>
          <w:p w14:paraId="27F9F671">
            <w:pPr>
              <w:widowControl/>
              <w:jc w:val="center"/>
              <w:textAlignment w:val="center"/>
              <w:rPr>
                <w:rFonts w:eastAsia="仿宋_GB2312"/>
                <w:color w:val="000000"/>
                <w:sz w:val="22"/>
                <w:szCs w:val="22"/>
              </w:rPr>
            </w:pPr>
            <w:r>
              <w:rPr>
                <w:rFonts w:eastAsia="仿宋_GB2312"/>
                <w:color w:val="000000"/>
                <w:kern w:val="0"/>
                <w:sz w:val="22"/>
                <w:szCs w:val="22"/>
                <w:lang w:bidi="ar"/>
              </w:rPr>
              <w:t>13.1.3</w:t>
            </w:r>
          </w:p>
        </w:tc>
        <w:tc>
          <w:tcPr>
            <w:tcW w:w="2496" w:type="pct"/>
            <w:noWrap w:val="0"/>
            <w:vAlign w:val="center"/>
          </w:tcPr>
          <w:p w14:paraId="4A1A97BC">
            <w:pPr>
              <w:widowControl/>
              <w:jc w:val="left"/>
              <w:textAlignment w:val="center"/>
              <w:rPr>
                <w:rFonts w:eastAsia="仿宋_GB2312"/>
                <w:color w:val="000000"/>
                <w:sz w:val="22"/>
                <w:szCs w:val="22"/>
              </w:rPr>
            </w:pPr>
            <w:r>
              <w:rPr>
                <w:rFonts w:eastAsia="仿宋_GB2312"/>
                <w:color w:val="000000"/>
                <w:kern w:val="0"/>
                <w:sz w:val="22"/>
                <w:szCs w:val="22"/>
                <w:lang w:bidi="ar"/>
              </w:rPr>
              <w:t>销售记录至少包括医疗器械名称、规格、型号、软件版本、数量、生产批号或者产品编号（序列号）、医疗器械唯一标识、使用期限（预期使用期限）、销售日期、购货单位名称、地址、联系方式。</w:t>
            </w:r>
          </w:p>
        </w:tc>
        <w:tc>
          <w:tcPr>
            <w:tcW w:w="407" w:type="pct"/>
            <w:noWrap w:val="0"/>
            <w:vAlign w:val="center"/>
          </w:tcPr>
          <w:p w14:paraId="45807CAC">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7584B9A">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《规范》第一百一十七条</w:t>
            </w:r>
          </w:p>
        </w:tc>
      </w:tr>
      <w:tr w14:paraId="09ED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9" w:type="pct"/>
            <w:vMerge w:val="continue"/>
            <w:noWrap w:val="0"/>
            <w:vAlign w:val="center"/>
          </w:tcPr>
          <w:p w14:paraId="0A1632F9">
            <w:pPr>
              <w:jc w:val="center"/>
              <w:rPr>
                <w:rFonts w:eastAsia="仿宋_GB2312"/>
                <w:color w:val="000000"/>
                <w:sz w:val="22"/>
                <w:szCs w:val="22"/>
              </w:rPr>
            </w:pPr>
          </w:p>
        </w:tc>
        <w:tc>
          <w:tcPr>
            <w:tcW w:w="326" w:type="pct"/>
            <w:noWrap w:val="0"/>
            <w:vAlign w:val="center"/>
          </w:tcPr>
          <w:p w14:paraId="67DACFEF">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186</w:t>
            </w:r>
          </w:p>
        </w:tc>
        <w:tc>
          <w:tcPr>
            <w:tcW w:w="523" w:type="pct"/>
            <w:noWrap w:val="0"/>
            <w:vAlign w:val="center"/>
          </w:tcPr>
          <w:p w14:paraId="0B6EC5FE">
            <w:pPr>
              <w:widowControl/>
              <w:jc w:val="center"/>
              <w:textAlignment w:val="center"/>
              <w:rPr>
                <w:rFonts w:eastAsia="仿宋_GB2312"/>
                <w:color w:val="000000"/>
                <w:sz w:val="22"/>
                <w:szCs w:val="22"/>
              </w:rPr>
            </w:pPr>
            <w:r>
              <w:rPr>
                <w:rFonts w:eastAsia="仿宋_GB2312"/>
                <w:color w:val="000000"/>
                <w:kern w:val="0"/>
                <w:sz w:val="22"/>
                <w:szCs w:val="22"/>
                <w:lang w:bidi="ar"/>
              </w:rPr>
              <w:t>13.2.1</w:t>
            </w:r>
          </w:p>
        </w:tc>
        <w:tc>
          <w:tcPr>
            <w:tcW w:w="2496" w:type="pct"/>
            <w:noWrap w:val="0"/>
            <w:vAlign w:val="center"/>
          </w:tcPr>
          <w:p w14:paraId="64D9E655">
            <w:pPr>
              <w:widowControl/>
              <w:jc w:val="left"/>
              <w:textAlignment w:val="center"/>
              <w:rPr>
                <w:rFonts w:eastAsia="仿宋_GB2312"/>
                <w:color w:val="000000"/>
                <w:sz w:val="22"/>
                <w:szCs w:val="22"/>
              </w:rPr>
            </w:pPr>
            <w:r>
              <w:rPr>
                <w:rFonts w:eastAsia="仿宋_GB2312"/>
                <w:color w:val="000000"/>
                <w:kern w:val="0"/>
                <w:sz w:val="22"/>
                <w:szCs w:val="22"/>
                <w:lang w:bidi="ar"/>
              </w:rPr>
              <w:t>企业应当采用经验证或者确认的运输条件和工具运输产品并做好产品防护。</w:t>
            </w:r>
          </w:p>
        </w:tc>
        <w:tc>
          <w:tcPr>
            <w:tcW w:w="407" w:type="pct"/>
            <w:noWrap w:val="0"/>
            <w:vAlign w:val="center"/>
          </w:tcPr>
          <w:p w14:paraId="18B9552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3CA014E2">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《规范》第一百一十八条</w:t>
            </w:r>
          </w:p>
        </w:tc>
      </w:tr>
      <w:tr w14:paraId="2DBD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589" w:type="pct"/>
            <w:vMerge w:val="continue"/>
            <w:noWrap w:val="0"/>
            <w:vAlign w:val="center"/>
          </w:tcPr>
          <w:p w14:paraId="415F280F">
            <w:pPr>
              <w:jc w:val="center"/>
              <w:rPr>
                <w:rFonts w:eastAsia="仿宋_GB2312"/>
                <w:color w:val="000000"/>
                <w:sz w:val="22"/>
                <w:szCs w:val="22"/>
              </w:rPr>
            </w:pPr>
          </w:p>
        </w:tc>
        <w:tc>
          <w:tcPr>
            <w:tcW w:w="326" w:type="pct"/>
            <w:noWrap w:val="0"/>
            <w:vAlign w:val="center"/>
          </w:tcPr>
          <w:p w14:paraId="3ACD2F12">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187</w:t>
            </w:r>
          </w:p>
        </w:tc>
        <w:tc>
          <w:tcPr>
            <w:tcW w:w="523" w:type="pct"/>
            <w:noWrap w:val="0"/>
            <w:vAlign w:val="center"/>
          </w:tcPr>
          <w:p w14:paraId="05DD9808">
            <w:pPr>
              <w:widowControl/>
              <w:jc w:val="center"/>
              <w:textAlignment w:val="center"/>
              <w:rPr>
                <w:rFonts w:eastAsia="仿宋_GB2312"/>
                <w:color w:val="000000"/>
                <w:sz w:val="22"/>
                <w:szCs w:val="22"/>
              </w:rPr>
            </w:pPr>
            <w:r>
              <w:rPr>
                <w:rFonts w:eastAsia="仿宋_GB2312"/>
                <w:color w:val="000000"/>
                <w:kern w:val="0"/>
                <w:sz w:val="22"/>
                <w:szCs w:val="22"/>
                <w:lang w:bidi="ar"/>
              </w:rPr>
              <w:t>13.3.1</w:t>
            </w:r>
          </w:p>
        </w:tc>
        <w:tc>
          <w:tcPr>
            <w:tcW w:w="2496" w:type="pct"/>
            <w:noWrap w:val="0"/>
            <w:vAlign w:val="center"/>
          </w:tcPr>
          <w:p w14:paraId="10889A71">
            <w:pPr>
              <w:widowControl/>
              <w:jc w:val="left"/>
              <w:textAlignment w:val="center"/>
              <w:rPr>
                <w:rFonts w:eastAsia="仿宋_GB2312"/>
                <w:color w:val="000000"/>
                <w:sz w:val="22"/>
                <w:szCs w:val="22"/>
              </w:rPr>
            </w:pPr>
            <w:r>
              <w:rPr>
                <w:rFonts w:eastAsia="仿宋_GB2312"/>
                <w:color w:val="000000"/>
                <w:kern w:val="0"/>
                <w:sz w:val="22"/>
                <w:szCs w:val="22"/>
                <w:lang w:bidi="ar"/>
              </w:rPr>
              <w:t>企业应当具备与所生产产品相适应的售后服务能力，建立健全售后服务制度。</w:t>
            </w:r>
          </w:p>
        </w:tc>
        <w:tc>
          <w:tcPr>
            <w:tcW w:w="407" w:type="pct"/>
            <w:noWrap w:val="0"/>
            <w:vAlign w:val="center"/>
          </w:tcPr>
          <w:p w14:paraId="2FFD6654">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ADEE4AD">
            <w:pPr>
              <w:widowControl/>
              <w:jc w:val="center"/>
              <w:textAlignment w:val="center"/>
              <w:rPr>
                <w:rFonts w:eastAsia="仿宋_GB2312"/>
                <w:color w:val="000000"/>
                <w:sz w:val="22"/>
                <w:szCs w:val="22"/>
              </w:rPr>
            </w:pPr>
            <w:r>
              <w:rPr>
                <w:rFonts w:eastAsia="仿宋_GB2312"/>
                <w:color w:val="000000"/>
                <w:kern w:val="0"/>
                <w:sz w:val="22"/>
                <w:szCs w:val="22"/>
                <w:lang w:bidi="ar"/>
              </w:rPr>
              <w:t>《规范》第一百一十九条</w:t>
            </w:r>
          </w:p>
        </w:tc>
      </w:tr>
      <w:tr w14:paraId="72B5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jc w:val="center"/>
        </w:trPr>
        <w:tc>
          <w:tcPr>
            <w:tcW w:w="589" w:type="pct"/>
            <w:vMerge w:val="continue"/>
            <w:noWrap w:val="0"/>
            <w:vAlign w:val="center"/>
          </w:tcPr>
          <w:p w14:paraId="0A49B51F">
            <w:pPr>
              <w:jc w:val="center"/>
              <w:rPr>
                <w:rFonts w:eastAsia="仿宋_GB2312"/>
                <w:color w:val="000000"/>
                <w:sz w:val="22"/>
                <w:szCs w:val="22"/>
              </w:rPr>
            </w:pPr>
          </w:p>
        </w:tc>
        <w:tc>
          <w:tcPr>
            <w:tcW w:w="326" w:type="pct"/>
            <w:noWrap w:val="0"/>
            <w:vAlign w:val="center"/>
          </w:tcPr>
          <w:p w14:paraId="1F2CB89C">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188</w:t>
            </w:r>
          </w:p>
        </w:tc>
        <w:tc>
          <w:tcPr>
            <w:tcW w:w="523" w:type="pct"/>
            <w:noWrap w:val="0"/>
            <w:vAlign w:val="center"/>
          </w:tcPr>
          <w:p w14:paraId="4402E7EC">
            <w:pPr>
              <w:widowControl/>
              <w:jc w:val="center"/>
              <w:textAlignment w:val="center"/>
              <w:rPr>
                <w:rFonts w:eastAsia="仿宋_GB2312"/>
                <w:color w:val="000000"/>
                <w:sz w:val="22"/>
                <w:szCs w:val="22"/>
              </w:rPr>
            </w:pPr>
            <w:r>
              <w:rPr>
                <w:rFonts w:eastAsia="仿宋_GB2312"/>
                <w:color w:val="000000"/>
                <w:kern w:val="0"/>
                <w:sz w:val="22"/>
                <w:szCs w:val="22"/>
                <w:lang w:bidi="ar"/>
              </w:rPr>
              <w:t>13.3.2</w:t>
            </w:r>
          </w:p>
        </w:tc>
        <w:tc>
          <w:tcPr>
            <w:tcW w:w="2496" w:type="pct"/>
            <w:noWrap w:val="0"/>
            <w:vAlign w:val="center"/>
          </w:tcPr>
          <w:p w14:paraId="007A839F">
            <w:pPr>
              <w:widowControl/>
              <w:jc w:val="left"/>
              <w:textAlignment w:val="center"/>
              <w:rPr>
                <w:rFonts w:eastAsia="仿宋_GB2312"/>
                <w:color w:val="000000"/>
                <w:sz w:val="22"/>
                <w:szCs w:val="22"/>
              </w:rPr>
            </w:pPr>
            <w:r>
              <w:rPr>
                <w:rFonts w:eastAsia="仿宋_GB2312"/>
                <w:color w:val="000000"/>
                <w:kern w:val="0"/>
                <w:sz w:val="22"/>
                <w:szCs w:val="22"/>
                <w:lang w:bidi="ar"/>
              </w:rPr>
              <w:t>企业应当规定售后服务要求，保留售后服务记录，并满足追溯要求。软件停运应当形成文件，确定停运后续用户服务、数据迁移、患者数据与隐私保护、用户告知等活动要求，保持相关记录。</w:t>
            </w:r>
          </w:p>
        </w:tc>
        <w:tc>
          <w:tcPr>
            <w:tcW w:w="407" w:type="pct"/>
            <w:noWrap w:val="0"/>
            <w:vAlign w:val="center"/>
          </w:tcPr>
          <w:p w14:paraId="1457391F">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4277082">
            <w:pPr>
              <w:widowControl/>
              <w:spacing w:line="280" w:lineRule="exact"/>
              <w:jc w:val="center"/>
              <w:textAlignment w:val="center"/>
              <w:rPr>
                <w:rFonts w:eastAsia="仿宋_GB2312"/>
                <w:color w:val="000000"/>
                <w:kern w:val="0"/>
                <w:sz w:val="22"/>
                <w:szCs w:val="22"/>
                <w:lang w:bidi="ar"/>
              </w:rPr>
            </w:pPr>
            <w:r>
              <w:rPr>
                <w:rFonts w:eastAsia="仿宋_GB2312"/>
                <w:color w:val="000000"/>
                <w:kern w:val="0"/>
                <w:sz w:val="22"/>
                <w:szCs w:val="22"/>
                <w:lang w:bidi="ar"/>
              </w:rPr>
              <w:t>《规范》第一百一十九条，</w:t>
            </w:r>
          </w:p>
          <w:p w14:paraId="5AE4747D">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《独立软件附录》2.7.2</w:t>
            </w:r>
          </w:p>
        </w:tc>
      </w:tr>
      <w:tr w14:paraId="7A2E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3" w:hRule="atLeast"/>
          <w:jc w:val="center"/>
        </w:trPr>
        <w:tc>
          <w:tcPr>
            <w:tcW w:w="589" w:type="pct"/>
            <w:vMerge w:val="continue"/>
            <w:noWrap w:val="0"/>
            <w:vAlign w:val="center"/>
          </w:tcPr>
          <w:p w14:paraId="11594513">
            <w:pPr>
              <w:jc w:val="center"/>
              <w:rPr>
                <w:rFonts w:eastAsia="仿宋_GB2312"/>
                <w:color w:val="000000"/>
                <w:sz w:val="22"/>
                <w:szCs w:val="22"/>
              </w:rPr>
            </w:pPr>
          </w:p>
        </w:tc>
        <w:tc>
          <w:tcPr>
            <w:tcW w:w="326" w:type="pct"/>
            <w:noWrap w:val="0"/>
            <w:vAlign w:val="center"/>
          </w:tcPr>
          <w:p w14:paraId="16D1143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189</w:t>
            </w:r>
          </w:p>
        </w:tc>
        <w:tc>
          <w:tcPr>
            <w:tcW w:w="523" w:type="pct"/>
            <w:noWrap w:val="0"/>
            <w:vAlign w:val="center"/>
          </w:tcPr>
          <w:p w14:paraId="35E4CE82">
            <w:pPr>
              <w:widowControl/>
              <w:jc w:val="center"/>
              <w:textAlignment w:val="center"/>
              <w:rPr>
                <w:rFonts w:eastAsia="仿宋_GB2312"/>
                <w:color w:val="000000"/>
                <w:sz w:val="22"/>
                <w:szCs w:val="22"/>
              </w:rPr>
            </w:pPr>
            <w:r>
              <w:rPr>
                <w:rFonts w:eastAsia="仿宋_GB2312"/>
                <w:color w:val="000000"/>
                <w:kern w:val="0"/>
                <w:sz w:val="22"/>
                <w:szCs w:val="22"/>
                <w:lang w:bidi="ar"/>
              </w:rPr>
              <w:t>13.4.1</w:t>
            </w:r>
          </w:p>
        </w:tc>
        <w:tc>
          <w:tcPr>
            <w:tcW w:w="2496" w:type="pct"/>
            <w:noWrap w:val="0"/>
            <w:vAlign w:val="center"/>
          </w:tcPr>
          <w:p w14:paraId="5A5D5AE9">
            <w:pPr>
              <w:widowControl/>
              <w:jc w:val="left"/>
              <w:textAlignment w:val="center"/>
              <w:rPr>
                <w:rFonts w:eastAsia="仿宋_GB2312"/>
                <w:color w:val="000000"/>
                <w:sz w:val="22"/>
                <w:szCs w:val="22"/>
              </w:rPr>
            </w:pPr>
            <w:r>
              <w:rPr>
                <w:rFonts w:eastAsia="仿宋_GB2312"/>
                <w:color w:val="000000"/>
                <w:kern w:val="0"/>
                <w:sz w:val="22"/>
                <w:szCs w:val="22"/>
                <w:lang w:bidi="ar"/>
              </w:rPr>
              <w:t xml:space="preserve">需要由企业安装的医疗器械，企业应当确定安装要求和安装验证接收标准，并保留安装和验收记录。软件部署应当形成文件，确定交付、安装、设置、配置、用户培训等活动要求，保持相关记录。 </w:t>
            </w:r>
          </w:p>
        </w:tc>
        <w:tc>
          <w:tcPr>
            <w:tcW w:w="407" w:type="pct"/>
            <w:noWrap w:val="0"/>
            <w:vAlign w:val="center"/>
          </w:tcPr>
          <w:p w14:paraId="4FEC5F78">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w:t>
            </w:r>
          </w:p>
        </w:tc>
        <w:tc>
          <w:tcPr>
            <w:tcW w:w="657" w:type="pct"/>
            <w:noWrap w:val="0"/>
            <w:vAlign w:val="center"/>
          </w:tcPr>
          <w:p w14:paraId="4650034F">
            <w:pPr>
              <w:widowControl/>
              <w:spacing w:line="280" w:lineRule="exact"/>
              <w:jc w:val="center"/>
              <w:textAlignment w:val="center"/>
              <w:rPr>
                <w:rFonts w:eastAsia="仿宋_GB2312"/>
                <w:color w:val="000000"/>
                <w:kern w:val="0"/>
                <w:sz w:val="22"/>
                <w:szCs w:val="22"/>
                <w:lang w:bidi="ar"/>
              </w:rPr>
            </w:pPr>
            <w:r>
              <w:rPr>
                <w:rFonts w:eastAsia="仿宋_GB2312"/>
                <w:color w:val="000000"/>
                <w:kern w:val="0"/>
                <w:sz w:val="22"/>
                <w:szCs w:val="22"/>
                <w:lang w:bidi="ar"/>
              </w:rPr>
              <w:t>《规范》第一百二十条，</w:t>
            </w:r>
            <w:r>
              <w:rPr>
                <w:rFonts w:eastAsia="仿宋_GB2312"/>
                <w:kern w:val="0"/>
                <w:sz w:val="22"/>
                <w:szCs w:val="22"/>
              </w:rPr>
              <w:br w:type="textWrapping"/>
            </w:r>
            <w:r>
              <w:rPr>
                <w:rFonts w:eastAsia="仿宋_GB2312"/>
                <w:kern w:val="0"/>
                <w:sz w:val="22"/>
                <w:szCs w:val="22"/>
              </w:rPr>
              <w:t>《独立软件附录》2.7.1</w:t>
            </w:r>
          </w:p>
        </w:tc>
      </w:tr>
      <w:tr w14:paraId="0AC2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589" w:type="pct"/>
            <w:vMerge w:val="continue"/>
            <w:noWrap w:val="0"/>
            <w:vAlign w:val="center"/>
          </w:tcPr>
          <w:p w14:paraId="5526B2ED">
            <w:pPr>
              <w:jc w:val="center"/>
              <w:rPr>
                <w:rFonts w:eastAsia="仿宋_GB2312"/>
                <w:color w:val="000000"/>
                <w:sz w:val="22"/>
                <w:szCs w:val="22"/>
              </w:rPr>
            </w:pPr>
          </w:p>
        </w:tc>
        <w:tc>
          <w:tcPr>
            <w:tcW w:w="326" w:type="pct"/>
            <w:noWrap w:val="0"/>
            <w:vAlign w:val="center"/>
          </w:tcPr>
          <w:p w14:paraId="53C53F63">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190</w:t>
            </w:r>
          </w:p>
        </w:tc>
        <w:tc>
          <w:tcPr>
            <w:tcW w:w="523" w:type="pct"/>
            <w:noWrap w:val="0"/>
            <w:vAlign w:val="center"/>
          </w:tcPr>
          <w:p w14:paraId="30AE9D86">
            <w:pPr>
              <w:widowControl/>
              <w:jc w:val="center"/>
              <w:textAlignment w:val="center"/>
              <w:rPr>
                <w:rFonts w:eastAsia="仿宋_GB2312"/>
                <w:color w:val="000000"/>
                <w:sz w:val="22"/>
                <w:szCs w:val="22"/>
              </w:rPr>
            </w:pPr>
            <w:r>
              <w:rPr>
                <w:rFonts w:eastAsia="仿宋_GB2312"/>
                <w:color w:val="000000"/>
                <w:kern w:val="0"/>
                <w:sz w:val="22"/>
                <w:szCs w:val="22"/>
                <w:lang w:bidi="ar"/>
              </w:rPr>
              <w:t>13.4.2</w:t>
            </w:r>
          </w:p>
        </w:tc>
        <w:tc>
          <w:tcPr>
            <w:tcW w:w="2496" w:type="pct"/>
            <w:noWrap w:val="0"/>
            <w:vAlign w:val="center"/>
          </w:tcPr>
          <w:p w14:paraId="1607972C">
            <w:pPr>
              <w:widowControl/>
              <w:jc w:val="left"/>
              <w:textAlignment w:val="center"/>
              <w:rPr>
                <w:rFonts w:eastAsia="仿宋_GB2312"/>
                <w:color w:val="000000"/>
                <w:sz w:val="22"/>
                <w:szCs w:val="22"/>
              </w:rPr>
            </w:pPr>
            <w:r>
              <w:rPr>
                <w:rFonts w:eastAsia="仿宋_GB2312"/>
                <w:color w:val="000000"/>
                <w:kern w:val="0"/>
                <w:sz w:val="22"/>
                <w:szCs w:val="22"/>
                <w:lang w:bidi="ar"/>
              </w:rPr>
              <w:t>由使用单位或者其他企业进行安装、维</w:t>
            </w:r>
            <w:r>
              <w:rPr>
                <w:rFonts w:hint="eastAsia" w:eastAsia="仿宋_GB2312"/>
                <w:color w:val="000000"/>
                <w:kern w:val="0"/>
                <w:sz w:val="22"/>
                <w:szCs w:val="22"/>
                <w:lang w:eastAsia="zh-CN" w:bidi="ar"/>
              </w:rPr>
              <w:t>护</w:t>
            </w:r>
            <w:r>
              <w:rPr>
                <w:rFonts w:eastAsia="仿宋_GB2312"/>
                <w:color w:val="000000"/>
                <w:kern w:val="0"/>
                <w:sz w:val="22"/>
                <w:szCs w:val="22"/>
                <w:lang w:bidi="ar"/>
              </w:rPr>
              <w:t>的，企业应当提供安装要求、标准和维</w:t>
            </w:r>
            <w:r>
              <w:rPr>
                <w:rFonts w:hint="eastAsia" w:eastAsia="仿宋_GB2312"/>
                <w:color w:val="000000"/>
                <w:kern w:val="0"/>
                <w:sz w:val="22"/>
                <w:szCs w:val="22"/>
                <w:lang w:eastAsia="zh-CN" w:bidi="ar"/>
              </w:rPr>
              <w:t>护</w:t>
            </w:r>
            <w:r>
              <w:rPr>
                <w:rFonts w:eastAsia="仿宋_GB2312"/>
                <w:color w:val="000000"/>
                <w:kern w:val="0"/>
                <w:sz w:val="22"/>
                <w:szCs w:val="22"/>
                <w:lang w:bidi="ar"/>
              </w:rPr>
              <w:t>资料、密码等，并进行指导。</w:t>
            </w:r>
          </w:p>
        </w:tc>
        <w:tc>
          <w:tcPr>
            <w:tcW w:w="407" w:type="pct"/>
            <w:noWrap w:val="0"/>
            <w:vAlign w:val="center"/>
          </w:tcPr>
          <w:p w14:paraId="5FE2535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EAFE2C8">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《规范》第一百二十条</w:t>
            </w:r>
          </w:p>
        </w:tc>
      </w:tr>
      <w:tr w14:paraId="6410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589" w:type="pct"/>
            <w:vMerge w:val="restart"/>
            <w:noWrap w:val="0"/>
            <w:vAlign w:val="center"/>
          </w:tcPr>
          <w:p w14:paraId="2AB32D25">
            <w:pPr>
              <w:widowControl/>
              <w:jc w:val="center"/>
              <w:textAlignment w:val="center"/>
              <w:rPr>
                <w:rFonts w:eastAsia="仿宋_GB2312"/>
                <w:color w:val="000000"/>
                <w:sz w:val="22"/>
                <w:szCs w:val="22"/>
              </w:rPr>
            </w:pPr>
            <w:r>
              <w:rPr>
                <w:rFonts w:eastAsia="仿宋_GB2312"/>
                <w:color w:val="000000"/>
                <w:kern w:val="0"/>
                <w:sz w:val="22"/>
                <w:szCs w:val="22"/>
                <w:lang w:bidi="ar"/>
              </w:rPr>
              <w:t>第十四章 分析与改进</w:t>
            </w:r>
          </w:p>
        </w:tc>
        <w:tc>
          <w:tcPr>
            <w:tcW w:w="326" w:type="pct"/>
            <w:noWrap w:val="0"/>
            <w:vAlign w:val="center"/>
          </w:tcPr>
          <w:p w14:paraId="087C1C5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191</w:t>
            </w:r>
          </w:p>
        </w:tc>
        <w:tc>
          <w:tcPr>
            <w:tcW w:w="523" w:type="pct"/>
            <w:noWrap w:val="0"/>
            <w:vAlign w:val="center"/>
          </w:tcPr>
          <w:p w14:paraId="561C35E5">
            <w:pPr>
              <w:widowControl/>
              <w:jc w:val="center"/>
              <w:textAlignment w:val="center"/>
              <w:rPr>
                <w:rFonts w:eastAsia="仿宋_GB2312"/>
                <w:color w:val="000000"/>
                <w:sz w:val="22"/>
                <w:szCs w:val="22"/>
              </w:rPr>
            </w:pPr>
            <w:r>
              <w:rPr>
                <w:rFonts w:eastAsia="仿宋_GB2312"/>
                <w:color w:val="000000"/>
                <w:kern w:val="0"/>
                <w:sz w:val="22"/>
                <w:szCs w:val="22"/>
                <w:lang w:bidi="ar"/>
              </w:rPr>
              <w:t>14.1.1</w:t>
            </w:r>
          </w:p>
        </w:tc>
        <w:tc>
          <w:tcPr>
            <w:tcW w:w="2496" w:type="pct"/>
            <w:noWrap w:val="0"/>
            <w:vAlign w:val="center"/>
          </w:tcPr>
          <w:p w14:paraId="110A2975">
            <w:pPr>
              <w:widowControl/>
              <w:jc w:val="left"/>
              <w:textAlignment w:val="center"/>
              <w:rPr>
                <w:rFonts w:eastAsia="仿宋_GB2312"/>
                <w:color w:val="000000"/>
                <w:sz w:val="22"/>
                <w:szCs w:val="22"/>
              </w:rPr>
            </w:pPr>
            <w:r>
              <w:rPr>
                <w:rFonts w:eastAsia="仿宋_GB2312"/>
                <w:color w:val="000000"/>
                <w:kern w:val="0"/>
                <w:sz w:val="22"/>
                <w:szCs w:val="22"/>
                <w:lang w:bidi="ar"/>
              </w:rPr>
              <w:t>企业应当开展产品和质量管理体系监测、分析和改进活动，确保产品安全有效、质量管理体系持续有效运行。</w:t>
            </w:r>
          </w:p>
        </w:tc>
        <w:tc>
          <w:tcPr>
            <w:tcW w:w="407" w:type="pct"/>
            <w:noWrap w:val="0"/>
            <w:vAlign w:val="center"/>
          </w:tcPr>
          <w:p w14:paraId="686156A6">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754E1DE">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《规范》第一百二十一条</w:t>
            </w:r>
          </w:p>
        </w:tc>
      </w:tr>
      <w:tr w14:paraId="362A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589" w:type="pct"/>
            <w:vMerge w:val="continue"/>
            <w:noWrap w:val="0"/>
            <w:vAlign w:val="center"/>
          </w:tcPr>
          <w:p w14:paraId="459E1B70">
            <w:pPr>
              <w:jc w:val="center"/>
              <w:rPr>
                <w:rFonts w:eastAsia="仿宋_GB2312"/>
                <w:color w:val="000000"/>
                <w:sz w:val="22"/>
                <w:szCs w:val="22"/>
              </w:rPr>
            </w:pPr>
          </w:p>
        </w:tc>
        <w:tc>
          <w:tcPr>
            <w:tcW w:w="326" w:type="pct"/>
            <w:noWrap w:val="0"/>
            <w:vAlign w:val="center"/>
          </w:tcPr>
          <w:p w14:paraId="716AFA8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192</w:t>
            </w:r>
          </w:p>
        </w:tc>
        <w:tc>
          <w:tcPr>
            <w:tcW w:w="523" w:type="pct"/>
            <w:noWrap w:val="0"/>
            <w:vAlign w:val="center"/>
          </w:tcPr>
          <w:p w14:paraId="42787C66">
            <w:pPr>
              <w:widowControl/>
              <w:jc w:val="center"/>
              <w:textAlignment w:val="center"/>
              <w:rPr>
                <w:rFonts w:eastAsia="仿宋_GB2312"/>
                <w:color w:val="000000"/>
                <w:sz w:val="22"/>
                <w:szCs w:val="22"/>
              </w:rPr>
            </w:pPr>
            <w:r>
              <w:rPr>
                <w:rFonts w:eastAsia="仿宋_GB2312"/>
                <w:color w:val="000000"/>
                <w:kern w:val="0"/>
                <w:sz w:val="22"/>
                <w:szCs w:val="22"/>
                <w:lang w:bidi="ar"/>
              </w:rPr>
              <w:t>14.2.1</w:t>
            </w:r>
          </w:p>
        </w:tc>
        <w:tc>
          <w:tcPr>
            <w:tcW w:w="2496" w:type="pct"/>
            <w:noWrap w:val="0"/>
            <w:vAlign w:val="center"/>
          </w:tcPr>
          <w:p w14:paraId="6692AB33">
            <w:pPr>
              <w:widowControl/>
              <w:jc w:val="left"/>
              <w:textAlignment w:val="center"/>
              <w:rPr>
                <w:rFonts w:eastAsia="仿宋_GB2312"/>
                <w:color w:val="000000"/>
                <w:sz w:val="22"/>
                <w:szCs w:val="22"/>
              </w:rPr>
            </w:pPr>
            <w:r>
              <w:rPr>
                <w:rFonts w:eastAsia="仿宋_GB2312"/>
                <w:color w:val="000000"/>
                <w:kern w:val="0"/>
                <w:sz w:val="22"/>
                <w:szCs w:val="22"/>
                <w:lang w:bidi="ar"/>
              </w:rPr>
              <w:t>企业应当建立产品质量投诉和顾客反馈处理程序，明确相关部门职责，及时接收、调查、评价和处理投诉与反馈意见，并保留相关记录。</w:t>
            </w:r>
          </w:p>
        </w:tc>
        <w:tc>
          <w:tcPr>
            <w:tcW w:w="407" w:type="pct"/>
            <w:noWrap w:val="0"/>
            <w:vAlign w:val="center"/>
          </w:tcPr>
          <w:p w14:paraId="465BB608">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7AED787">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《规范》第一百二十二条</w:t>
            </w:r>
          </w:p>
        </w:tc>
      </w:tr>
      <w:tr w14:paraId="349E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589" w:type="pct"/>
            <w:vMerge w:val="continue"/>
            <w:noWrap w:val="0"/>
            <w:vAlign w:val="center"/>
          </w:tcPr>
          <w:p w14:paraId="2832C690">
            <w:pPr>
              <w:jc w:val="center"/>
              <w:rPr>
                <w:rFonts w:eastAsia="仿宋_GB2312"/>
                <w:color w:val="000000"/>
                <w:sz w:val="22"/>
                <w:szCs w:val="22"/>
              </w:rPr>
            </w:pPr>
          </w:p>
        </w:tc>
        <w:tc>
          <w:tcPr>
            <w:tcW w:w="326" w:type="pct"/>
            <w:noWrap w:val="0"/>
            <w:vAlign w:val="center"/>
          </w:tcPr>
          <w:p w14:paraId="715DD8B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193</w:t>
            </w:r>
          </w:p>
        </w:tc>
        <w:tc>
          <w:tcPr>
            <w:tcW w:w="523" w:type="pct"/>
            <w:noWrap w:val="0"/>
            <w:vAlign w:val="center"/>
          </w:tcPr>
          <w:p w14:paraId="4E38AB39">
            <w:pPr>
              <w:widowControl/>
              <w:jc w:val="center"/>
              <w:textAlignment w:val="center"/>
              <w:rPr>
                <w:rFonts w:eastAsia="仿宋_GB2312"/>
                <w:color w:val="000000"/>
                <w:sz w:val="22"/>
                <w:szCs w:val="22"/>
              </w:rPr>
            </w:pPr>
            <w:r>
              <w:rPr>
                <w:rFonts w:eastAsia="仿宋_GB2312"/>
                <w:color w:val="000000"/>
                <w:kern w:val="0"/>
                <w:sz w:val="22"/>
                <w:szCs w:val="22"/>
                <w:lang w:bidi="ar"/>
              </w:rPr>
              <w:t>14.3.1</w:t>
            </w:r>
          </w:p>
        </w:tc>
        <w:tc>
          <w:tcPr>
            <w:tcW w:w="2496" w:type="pct"/>
            <w:noWrap w:val="0"/>
            <w:vAlign w:val="center"/>
          </w:tcPr>
          <w:p w14:paraId="59FD02BB">
            <w:pPr>
              <w:widowControl/>
              <w:jc w:val="left"/>
              <w:textAlignment w:val="center"/>
              <w:rPr>
                <w:rFonts w:eastAsia="仿宋_GB2312"/>
                <w:color w:val="000000"/>
                <w:sz w:val="22"/>
                <w:szCs w:val="22"/>
              </w:rPr>
            </w:pPr>
            <w:r>
              <w:rPr>
                <w:rFonts w:eastAsia="仿宋_GB2312"/>
                <w:color w:val="000000"/>
                <w:kern w:val="0"/>
                <w:sz w:val="22"/>
                <w:szCs w:val="22"/>
                <w:lang w:bidi="ar"/>
              </w:rPr>
              <w:t>企业应当建立医疗器械不良事件监测制度，对发生的不良事件及时报告，并开展调查、分析、评价，必要时采取风险控制措施。</w:t>
            </w:r>
          </w:p>
        </w:tc>
        <w:tc>
          <w:tcPr>
            <w:tcW w:w="407" w:type="pct"/>
            <w:noWrap w:val="0"/>
            <w:vAlign w:val="center"/>
          </w:tcPr>
          <w:p w14:paraId="43299B8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DB5AE06">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《规范》第一百二十三条</w:t>
            </w:r>
          </w:p>
        </w:tc>
      </w:tr>
      <w:tr w14:paraId="16AE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9" w:hRule="atLeast"/>
          <w:jc w:val="center"/>
        </w:trPr>
        <w:tc>
          <w:tcPr>
            <w:tcW w:w="589" w:type="pct"/>
            <w:vMerge w:val="continue"/>
            <w:noWrap w:val="0"/>
            <w:vAlign w:val="center"/>
          </w:tcPr>
          <w:p w14:paraId="56F0CD38">
            <w:pPr>
              <w:jc w:val="center"/>
              <w:rPr>
                <w:rFonts w:eastAsia="仿宋_GB2312"/>
                <w:color w:val="000000"/>
                <w:sz w:val="22"/>
                <w:szCs w:val="22"/>
              </w:rPr>
            </w:pPr>
          </w:p>
        </w:tc>
        <w:tc>
          <w:tcPr>
            <w:tcW w:w="326" w:type="pct"/>
            <w:noWrap w:val="0"/>
            <w:vAlign w:val="center"/>
          </w:tcPr>
          <w:p w14:paraId="504BF88B">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194</w:t>
            </w:r>
          </w:p>
        </w:tc>
        <w:tc>
          <w:tcPr>
            <w:tcW w:w="523" w:type="pct"/>
            <w:noWrap w:val="0"/>
            <w:vAlign w:val="center"/>
          </w:tcPr>
          <w:p w14:paraId="1B265E7C">
            <w:pPr>
              <w:widowControl/>
              <w:jc w:val="center"/>
              <w:textAlignment w:val="center"/>
              <w:rPr>
                <w:rFonts w:eastAsia="仿宋_GB2312"/>
                <w:color w:val="000000"/>
                <w:sz w:val="22"/>
                <w:szCs w:val="22"/>
              </w:rPr>
            </w:pPr>
            <w:r>
              <w:rPr>
                <w:rFonts w:eastAsia="仿宋_GB2312"/>
                <w:color w:val="000000"/>
                <w:kern w:val="0"/>
                <w:sz w:val="22"/>
                <w:szCs w:val="22"/>
                <w:lang w:bidi="ar"/>
              </w:rPr>
              <w:t>14.4.1</w:t>
            </w:r>
          </w:p>
        </w:tc>
        <w:tc>
          <w:tcPr>
            <w:tcW w:w="2496" w:type="pct"/>
            <w:noWrap w:val="0"/>
            <w:vAlign w:val="center"/>
          </w:tcPr>
          <w:p w14:paraId="1D32888F">
            <w:pPr>
              <w:widowControl/>
              <w:jc w:val="left"/>
              <w:textAlignment w:val="center"/>
              <w:rPr>
                <w:rFonts w:eastAsia="仿宋_GB2312"/>
                <w:color w:val="000000"/>
                <w:sz w:val="22"/>
                <w:szCs w:val="22"/>
              </w:rPr>
            </w:pPr>
            <w:r>
              <w:rPr>
                <w:rFonts w:eastAsia="仿宋_GB2312"/>
                <w:color w:val="000000"/>
                <w:kern w:val="0"/>
                <w:sz w:val="22"/>
                <w:szCs w:val="22"/>
                <w:lang w:bidi="ar"/>
              </w:rPr>
              <w:t>企业应当建立数据分析程序，确定适宜的数据收集方法、控制标准、分析方法和统计技术，收集分析与产品质量、不良事件、顾客反馈和质量管理体系运行有关数据，应当涵盖软件缺陷、网络安全事件要求。评价产品安全性和有效性，按要求形成质量风险评价报告，并将数据分析结果作为改进输入内容。</w:t>
            </w:r>
          </w:p>
        </w:tc>
        <w:tc>
          <w:tcPr>
            <w:tcW w:w="407" w:type="pct"/>
            <w:noWrap w:val="0"/>
            <w:vAlign w:val="center"/>
          </w:tcPr>
          <w:p w14:paraId="0ED57707">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94B5DB3">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《规范》第一百二十四条，</w:t>
            </w:r>
            <w:r>
              <w:rPr>
                <w:rFonts w:eastAsia="仿宋_GB2312"/>
                <w:color w:val="000000"/>
                <w:kern w:val="0"/>
                <w:sz w:val="22"/>
                <w:szCs w:val="22"/>
                <w:lang w:bidi="ar"/>
              </w:rPr>
              <w:br w:type="textWrapping"/>
            </w:r>
            <w:r>
              <w:rPr>
                <w:rFonts w:eastAsia="仿宋_GB2312"/>
                <w:color w:val="000000"/>
                <w:kern w:val="0"/>
                <w:sz w:val="22"/>
                <w:szCs w:val="22"/>
                <w:lang w:bidi="ar"/>
              </w:rPr>
              <w:t>《独立软件附录》2.8.1</w:t>
            </w:r>
          </w:p>
        </w:tc>
      </w:tr>
      <w:tr w14:paraId="5F4F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3" w:hRule="atLeast"/>
          <w:jc w:val="center"/>
        </w:trPr>
        <w:tc>
          <w:tcPr>
            <w:tcW w:w="589" w:type="pct"/>
            <w:vMerge w:val="continue"/>
            <w:noWrap w:val="0"/>
            <w:vAlign w:val="center"/>
          </w:tcPr>
          <w:p w14:paraId="63BC6BE5">
            <w:pPr>
              <w:jc w:val="center"/>
              <w:rPr>
                <w:rFonts w:eastAsia="仿宋_GB2312"/>
                <w:color w:val="000000"/>
                <w:sz w:val="22"/>
                <w:szCs w:val="22"/>
              </w:rPr>
            </w:pPr>
          </w:p>
        </w:tc>
        <w:tc>
          <w:tcPr>
            <w:tcW w:w="326" w:type="pct"/>
            <w:noWrap w:val="0"/>
            <w:vAlign w:val="center"/>
          </w:tcPr>
          <w:p w14:paraId="24F7D9D1">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195</w:t>
            </w:r>
          </w:p>
        </w:tc>
        <w:tc>
          <w:tcPr>
            <w:tcW w:w="523" w:type="pct"/>
            <w:noWrap w:val="0"/>
            <w:vAlign w:val="center"/>
          </w:tcPr>
          <w:p w14:paraId="24D65AD2">
            <w:pPr>
              <w:widowControl/>
              <w:jc w:val="center"/>
              <w:textAlignment w:val="center"/>
              <w:rPr>
                <w:rFonts w:eastAsia="仿宋_GB2312"/>
                <w:color w:val="000000"/>
                <w:sz w:val="22"/>
                <w:szCs w:val="22"/>
              </w:rPr>
            </w:pPr>
            <w:r>
              <w:rPr>
                <w:rFonts w:eastAsia="仿宋_GB2312"/>
                <w:color w:val="000000"/>
                <w:kern w:val="0"/>
                <w:sz w:val="22"/>
                <w:szCs w:val="22"/>
                <w:lang w:bidi="ar"/>
              </w:rPr>
              <w:t>14.5.1</w:t>
            </w:r>
          </w:p>
        </w:tc>
        <w:tc>
          <w:tcPr>
            <w:tcW w:w="2496" w:type="pct"/>
            <w:noWrap w:val="0"/>
            <w:vAlign w:val="center"/>
          </w:tcPr>
          <w:p w14:paraId="6313DEE6">
            <w:pPr>
              <w:widowControl/>
              <w:jc w:val="left"/>
              <w:textAlignment w:val="center"/>
              <w:rPr>
                <w:rFonts w:eastAsia="仿宋_GB2312"/>
                <w:color w:val="000000"/>
                <w:sz w:val="22"/>
                <w:szCs w:val="22"/>
              </w:rPr>
            </w:pPr>
            <w:r>
              <w:rPr>
                <w:rFonts w:eastAsia="仿宋_GB2312"/>
                <w:color w:val="000000"/>
                <w:kern w:val="0"/>
                <w:sz w:val="22"/>
                <w:szCs w:val="22"/>
                <w:lang w:bidi="ar"/>
              </w:rPr>
              <w:t>企业应当建立纠正措施程序，确定产生问题的原因，采取有效措施，防止相关问题再次发生。应当建立预防措施程序，确定潜在问题的原因，采取有效措施，防止问题发生。</w:t>
            </w:r>
          </w:p>
        </w:tc>
        <w:tc>
          <w:tcPr>
            <w:tcW w:w="407" w:type="pct"/>
            <w:noWrap w:val="0"/>
            <w:vAlign w:val="center"/>
          </w:tcPr>
          <w:p w14:paraId="3E55C6F0">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995DF64">
            <w:pPr>
              <w:widowControl/>
              <w:spacing w:line="280" w:lineRule="exact"/>
              <w:jc w:val="center"/>
              <w:textAlignment w:val="center"/>
              <w:rPr>
                <w:rFonts w:eastAsia="仿宋_GB2312"/>
                <w:color w:val="000000"/>
                <w:sz w:val="22"/>
                <w:szCs w:val="22"/>
              </w:rPr>
            </w:pPr>
            <w:r>
              <w:rPr>
                <w:rFonts w:eastAsia="仿宋_GB2312"/>
                <w:color w:val="000000"/>
                <w:kern w:val="0"/>
                <w:sz w:val="22"/>
                <w:szCs w:val="22"/>
                <w:lang w:bidi="ar"/>
              </w:rPr>
              <w:t>《规范》第一百二十五条</w:t>
            </w:r>
          </w:p>
        </w:tc>
      </w:tr>
      <w:tr w14:paraId="6A42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589" w:type="pct"/>
            <w:vMerge w:val="continue"/>
            <w:noWrap w:val="0"/>
            <w:vAlign w:val="center"/>
          </w:tcPr>
          <w:p w14:paraId="7E2DC503">
            <w:pPr>
              <w:jc w:val="center"/>
              <w:rPr>
                <w:rFonts w:eastAsia="仿宋_GB2312"/>
                <w:color w:val="000000"/>
                <w:sz w:val="22"/>
                <w:szCs w:val="22"/>
              </w:rPr>
            </w:pPr>
          </w:p>
        </w:tc>
        <w:tc>
          <w:tcPr>
            <w:tcW w:w="326" w:type="pct"/>
            <w:noWrap w:val="0"/>
            <w:vAlign w:val="center"/>
          </w:tcPr>
          <w:p w14:paraId="2D2EB5E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196</w:t>
            </w:r>
          </w:p>
        </w:tc>
        <w:tc>
          <w:tcPr>
            <w:tcW w:w="523" w:type="pct"/>
            <w:noWrap w:val="0"/>
            <w:vAlign w:val="center"/>
          </w:tcPr>
          <w:p w14:paraId="396825AF">
            <w:pPr>
              <w:widowControl/>
              <w:jc w:val="center"/>
              <w:textAlignment w:val="center"/>
              <w:rPr>
                <w:rFonts w:eastAsia="仿宋_GB2312"/>
                <w:color w:val="000000"/>
                <w:sz w:val="22"/>
                <w:szCs w:val="22"/>
              </w:rPr>
            </w:pPr>
            <w:r>
              <w:rPr>
                <w:rFonts w:eastAsia="仿宋_GB2312"/>
                <w:color w:val="000000"/>
                <w:kern w:val="0"/>
                <w:sz w:val="22"/>
                <w:szCs w:val="22"/>
                <w:lang w:bidi="ar"/>
              </w:rPr>
              <w:t>14.5.2</w:t>
            </w:r>
          </w:p>
        </w:tc>
        <w:tc>
          <w:tcPr>
            <w:tcW w:w="2496" w:type="pct"/>
            <w:noWrap w:val="0"/>
            <w:vAlign w:val="center"/>
          </w:tcPr>
          <w:p w14:paraId="6A0D0179">
            <w:pPr>
              <w:widowControl/>
              <w:jc w:val="left"/>
              <w:textAlignment w:val="center"/>
              <w:rPr>
                <w:rFonts w:eastAsia="仿宋_GB2312"/>
                <w:color w:val="000000"/>
                <w:sz w:val="22"/>
                <w:szCs w:val="22"/>
              </w:rPr>
            </w:pPr>
            <w:r>
              <w:rPr>
                <w:rFonts w:eastAsia="仿宋_GB2312"/>
                <w:color w:val="000000"/>
                <w:kern w:val="0"/>
                <w:sz w:val="22"/>
                <w:szCs w:val="22"/>
                <w:lang w:bidi="ar"/>
              </w:rPr>
              <w:t>企业采取的纠正预防措施应当与问题影响程度相适应，且经验证无不良影响。措施有效性应当进行确认。</w:t>
            </w:r>
          </w:p>
        </w:tc>
        <w:tc>
          <w:tcPr>
            <w:tcW w:w="407" w:type="pct"/>
            <w:noWrap w:val="0"/>
            <w:vAlign w:val="center"/>
          </w:tcPr>
          <w:p w14:paraId="04A6BF7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92EDEE6">
            <w:pPr>
              <w:widowControl/>
              <w:jc w:val="center"/>
              <w:textAlignment w:val="center"/>
              <w:rPr>
                <w:rFonts w:eastAsia="仿宋_GB2312"/>
                <w:color w:val="000000"/>
                <w:sz w:val="22"/>
                <w:szCs w:val="22"/>
              </w:rPr>
            </w:pPr>
            <w:r>
              <w:rPr>
                <w:rFonts w:eastAsia="仿宋_GB2312"/>
                <w:color w:val="000000"/>
                <w:kern w:val="0"/>
                <w:sz w:val="22"/>
                <w:szCs w:val="22"/>
                <w:lang w:bidi="ar"/>
              </w:rPr>
              <w:t>《规范》第一百二十五条</w:t>
            </w:r>
          </w:p>
        </w:tc>
      </w:tr>
      <w:tr w14:paraId="3BEC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589" w:type="pct"/>
            <w:vMerge w:val="continue"/>
            <w:noWrap w:val="0"/>
            <w:vAlign w:val="center"/>
          </w:tcPr>
          <w:p w14:paraId="4D88E1C1">
            <w:pPr>
              <w:jc w:val="center"/>
              <w:rPr>
                <w:rFonts w:eastAsia="仿宋_GB2312"/>
                <w:color w:val="000000"/>
                <w:sz w:val="22"/>
                <w:szCs w:val="22"/>
              </w:rPr>
            </w:pPr>
          </w:p>
        </w:tc>
        <w:tc>
          <w:tcPr>
            <w:tcW w:w="326" w:type="pct"/>
            <w:noWrap w:val="0"/>
            <w:vAlign w:val="center"/>
          </w:tcPr>
          <w:p w14:paraId="2AB9DDE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197</w:t>
            </w:r>
          </w:p>
        </w:tc>
        <w:tc>
          <w:tcPr>
            <w:tcW w:w="523" w:type="pct"/>
            <w:noWrap w:val="0"/>
            <w:vAlign w:val="center"/>
          </w:tcPr>
          <w:p w14:paraId="2DB026AB">
            <w:pPr>
              <w:widowControl/>
              <w:jc w:val="center"/>
              <w:textAlignment w:val="center"/>
              <w:rPr>
                <w:rFonts w:eastAsia="仿宋_GB2312"/>
                <w:color w:val="000000"/>
                <w:sz w:val="22"/>
                <w:szCs w:val="22"/>
              </w:rPr>
            </w:pPr>
            <w:r>
              <w:rPr>
                <w:rFonts w:eastAsia="仿宋_GB2312"/>
                <w:color w:val="000000"/>
                <w:kern w:val="0"/>
                <w:sz w:val="22"/>
                <w:szCs w:val="22"/>
                <w:lang w:bidi="ar"/>
              </w:rPr>
              <w:t>14.6.1</w:t>
            </w:r>
          </w:p>
        </w:tc>
        <w:tc>
          <w:tcPr>
            <w:tcW w:w="2496" w:type="pct"/>
            <w:noWrap w:val="0"/>
            <w:vAlign w:val="center"/>
          </w:tcPr>
          <w:p w14:paraId="7E0C1723">
            <w:pPr>
              <w:widowControl/>
              <w:jc w:val="left"/>
              <w:textAlignment w:val="center"/>
              <w:rPr>
                <w:rFonts w:eastAsia="仿宋_GB2312"/>
                <w:color w:val="000000"/>
                <w:sz w:val="22"/>
                <w:szCs w:val="22"/>
              </w:rPr>
            </w:pPr>
            <w:r>
              <w:rPr>
                <w:rFonts w:eastAsia="仿宋_GB2312"/>
                <w:color w:val="000000"/>
                <w:kern w:val="0"/>
                <w:sz w:val="22"/>
                <w:szCs w:val="22"/>
                <w:lang w:bidi="ar"/>
              </w:rPr>
              <w:t>企业应当建立医疗器械召回管理制度，收集医疗器械安全相关信息，对可能的缺陷产品进行调查、评估，及时召回缺陷产品，并按照规定报告有关部门。</w:t>
            </w:r>
          </w:p>
        </w:tc>
        <w:tc>
          <w:tcPr>
            <w:tcW w:w="407" w:type="pct"/>
            <w:noWrap w:val="0"/>
            <w:vAlign w:val="center"/>
          </w:tcPr>
          <w:p w14:paraId="5E89DB7A">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21A94956">
            <w:pPr>
              <w:widowControl/>
              <w:jc w:val="center"/>
              <w:textAlignment w:val="center"/>
              <w:rPr>
                <w:rFonts w:eastAsia="仿宋_GB2312"/>
                <w:color w:val="000000"/>
                <w:sz w:val="22"/>
                <w:szCs w:val="22"/>
              </w:rPr>
            </w:pPr>
            <w:r>
              <w:rPr>
                <w:rFonts w:eastAsia="仿宋_GB2312"/>
                <w:color w:val="000000"/>
                <w:kern w:val="0"/>
                <w:sz w:val="22"/>
                <w:szCs w:val="22"/>
                <w:lang w:bidi="ar"/>
              </w:rPr>
              <w:t>《规范》第一百二十六条</w:t>
            </w:r>
          </w:p>
        </w:tc>
      </w:tr>
      <w:tr w14:paraId="0B21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589" w:type="pct"/>
            <w:vMerge w:val="continue"/>
            <w:noWrap w:val="0"/>
            <w:vAlign w:val="center"/>
          </w:tcPr>
          <w:p w14:paraId="1FD20CF9">
            <w:pPr>
              <w:jc w:val="center"/>
              <w:rPr>
                <w:rFonts w:eastAsia="仿宋_GB2312"/>
                <w:color w:val="000000"/>
                <w:sz w:val="22"/>
                <w:szCs w:val="22"/>
              </w:rPr>
            </w:pPr>
          </w:p>
        </w:tc>
        <w:tc>
          <w:tcPr>
            <w:tcW w:w="326" w:type="pct"/>
            <w:noWrap w:val="0"/>
            <w:vAlign w:val="center"/>
          </w:tcPr>
          <w:p w14:paraId="544FF6D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198</w:t>
            </w:r>
          </w:p>
        </w:tc>
        <w:tc>
          <w:tcPr>
            <w:tcW w:w="523" w:type="pct"/>
            <w:noWrap w:val="0"/>
            <w:vAlign w:val="center"/>
          </w:tcPr>
          <w:p w14:paraId="4FE3CFB2">
            <w:pPr>
              <w:widowControl/>
              <w:jc w:val="center"/>
              <w:textAlignment w:val="center"/>
              <w:rPr>
                <w:rFonts w:eastAsia="仿宋_GB2312"/>
                <w:color w:val="000000"/>
                <w:sz w:val="22"/>
                <w:szCs w:val="22"/>
              </w:rPr>
            </w:pPr>
            <w:r>
              <w:rPr>
                <w:rFonts w:eastAsia="仿宋_GB2312"/>
                <w:color w:val="000000"/>
                <w:kern w:val="0"/>
                <w:sz w:val="22"/>
                <w:szCs w:val="22"/>
                <w:lang w:bidi="ar"/>
              </w:rPr>
              <w:t>14.7.1</w:t>
            </w:r>
          </w:p>
        </w:tc>
        <w:tc>
          <w:tcPr>
            <w:tcW w:w="2496" w:type="pct"/>
            <w:noWrap w:val="0"/>
            <w:vAlign w:val="center"/>
          </w:tcPr>
          <w:p w14:paraId="791C369F">
            <w:pPr>
              <w:widowControl/>
              <w:jc w:val="left"/>
              <w:textAlignment w:val="center"/>
              <w:rPr>
                <w:rFonts w:eastAsia="仿宋_GB2312"/>
                <w:color w:val="000000"/>
                <w:sz w:val="22"/>
                <w:szCs w:val="22"/>
              </w:rPr>
            </w:pPr>
            <w:r>
              <w:rPr>
                <w:rFonts w:eastAsia="仿宋_GB2312"/>
                <w:color w:val="000000"/>
                <w:kern w:val="0"/>
                <w:sz w:val="22"/>
                <w:szCs w:val="22"/>
                <w:lang w:bidi="ar"/>
              </w:rPr>
              <w:t>企业应当建立产品信息告知程序，及时将与产品安全有关的变化信息通知相关企业、使用单位或者消费者。</w:t>
            </w:r>
          </w:p>
        </w:tc>
        <w:tc>
          <w:tcPr>
            <w:tcW w:w="407" w:type="pct"/>
            <w:noWrap w:val="0"/>
            <w:vAlign w:val="center"/>
          </w:tcPr>
          <w:p w14:paraId="551632C7">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6C1DDB6">
            <w:pPr>
              <w:widowControl/>
              <w:jc w:val="center"/>
              <w:textAlignment w:val="center"/>
              <w:rPr>
                <w:rFonts w:eastAsia="仿宋_GB2312"/>
                <w:color w:val="000000"/>
                <w:sz w:val="22"/>
                <w:szCs w:val="22"/>
              </w:rPr>
            </w:pPr>
            <w:r>
              <w:rPr>
                <w:rFonts w:eastAsia="仿宋_GB2312"/>
                <w:color w:val="000000"/>
                <w:kern w:val="0"/>
                <w:sz w:val="22"/>
                <w:szCs w:val="22"/>
                <w:lang w:bidi="ar"/>
              </w:rPr>
              <w:t>《规范》第一百二十七条</w:t>
            </w:r>
          </w:p>
        </w:tc>
      </w:tr>
      <w:tr w14:paraId="5FAC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9" w:hRule="atLeast"/>
          <w:jc w:val="center"/>
        </w:trPr>
        <w:tc>
          <w:tcPr>
            <w:tcW w:w="589" w:type="pct"/>
            <w:vMerge w:val="continue"/>
            <w:noWrap w:val="0"/>
            <w:vAlign w:val="center"/>
          </w:tcPr>
          <w:p w14:paraId="3539A898">
            <w:pPr>
              <w:jc w:val="center"/>
              <w:rPr>
                <w:rFonts w:eastAsia="仿宋_GB2312"/>
                <w:color w:val="000000"/>
                <w:sz w:val="22"/>
                <w:szCs w:val="22"/>
              </w:rPr>
            </w:pPr>
          </w:p>
        </w:tc>
        <w:tc>
          <w:tcPr>
            <w:tcW w:w="326" w:type="pct"/>
            <w:noWrap w:val="0"/>
            <w:vAlign w:val="center"/>
          </w:tcPr>
          <w:p w14:paraId="72F5898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199</w:t>
            </w:r>
          </w:p>
        </w:tc>
        <w:tc>
          <w:tcPr>
            <w:tcW w:w="523" w:type="pct"/>
            <w:noWrap w:val="0"/>
            <w:vAlign w:val="center"/>
          </w:tcPr>
          <w:p w14:paraId="4567FE29">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14.7.2</w:t>
            </w:r>
          </w:p>
        </w:tc>
        <w:tc>
          <w:tcPr>
            <w:tcW w:w="2496" w:type="pct"/>
            <w:noWrap w:val="0"/>
            <w:vAlign w:val="center"/>
          </w:tcPr>
          <w:p w14:paraId="7FE933B4">
            <w:pPr>
              <w:widowControl/>
              <w:jc w:val="left"/>
              <w:textAlignment w:val="center"/>
              <w:rPr>
                <w:rFonts w:eastAsia="仿宋_GB2312"/>
                <w:color w:val="000000"/>
                <w:kern w:val="0"/>
                <w:sz w:val="22"/>
                <w:szCs w:val="22"/>
                <w:lang w:bidi="ar"/>
              </w:rPr>
            </w:pPr>
            <w:r>
              <w:rPr>
                <w:rFonts w:eastAsia="仿宋_GB2312"/>
                <w:color w:val="000000"/>
                <w:kern w:val="0"/>
                <w:sz w:val="22"/>
                <w:szCs w:val="22"/>
                <w:lang w:bidi="ar"/>
              </w:rPr>
              <w:t>网络安全事件应急响应应当形成文件，确定网络安全事件风险管理、应急响应措施验证、用户告知、召回等活动要求，保持相关记录。</w:t>
            </w:r>
          </w:p>
        </w:tc>
        <w:tc>
          <w:tcPr>
            <w:tcW w:w="407" w:type="pct"/>
            <w:noWrap w:val="0"/>
            <w:vAlign w:val="center"/>
          </w:tcPr>
          <w:p w14:paraId="6F5C0F54">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w:t>
            </w:r>
          </w:p>
        </w:tc>
        <w:tc>
          <w:tcPr>
            <w:tcW w:w="657" w:type="pct"/>
            <w:noWrap w:val="0"/>
            <w:vAlign w:val="center"/>
          </w:tcPr>
          <w:p w14:paraId="047F5B9E">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《独立软件附录》2.8.2</w:t>
            </w:r>
          </w:p>
        </w:tc>
      </w:tr>
      <w:tr w14:paraId="1FE6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589" w:type="pct"/>
            <w:vMerge w:val="continue"/>
            <w:noWrap w:val="0"/>
            <w:vAlign w:val="center"/>
          </w:tcPr>
          <w:p w14:paraId="2D56B656">
            <w:pPr>
              <w:jc w:val="center"/>
              <w:rPr>
                <w:rFonts w:eastAsia="仿宋_GB2312"/>
                <w:color w:val="000000"/>
                <w:sz w:val="22"/>
                <w:szCs w:val="22"/>
              </w:rPr>
            </w:pPr>
          </w:p>
        </w:tc>
        <w:tc>
          <w:tcPr>
            <w:tcW w:w="326" w:type="pct"/>
            <w:noWrap w:val="0"/>
            <w:vAlign w:val="center"/>
          </w:tcPr>
          <w:p w14:paraId="2EF4A000">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200</w:t>
            </w:r>
          </w:p>
        </w:tc>
        <w:tc>
          <w:tcPr>
            <w:tcW w:w="523" w:type="pct"/>
            <w:noWrap w:val="0"/>
            <w:vAlign w:val="center"/>
          </w:tcPr>
          <w:p w14:paraId="26379F46">
            <w:pPr>
              <w:widowControl/>
              <w:jc w:val="center"/>
              <w:textAlignment w:val="center"/>
              <w:rPr>
                <w:rFonts w:eastAsia="仿宋_GB2312"/>
                <w:color w:val="000000"/>
                <w:sz w:val="22"/>
                <w:szCs w:val="22"/>
              </w:rPr>
            </w:pPr>
            <w:r>
              <w:rPr>
                <w:rFonts w:eastAsia="仿宋_GB2312"/>
                <w:color w:val="000000"/>
                <w:kern w:val="0"/>
                <w:sz w:val="22"/>
                <w:szCs w:val="22"/>
                <w:lang w:bidi="ar"/>
              </w:rPr>
              <w:t>14.8.1</w:t>
            </w:r>
          </w:p>
        </w:tc>
        <w:tc>
          <w:tcPr>
            <w:tcW w:w="2496" w:type="pct"/>
            <w:noWrap w:val="0"/>
            <w:vAlign w:val="center"/>
          </w:tcPr>
          <w:p w14:paraId="215EE4D9">
            <w:pPr>
              <w:widowControl/>
              <w:jc w:val="left"/>
              <w:textAlignment w:val="center"/>
              <w:rPr>
                <w:rFonts w:eastAsia="仿宋_GB2312"/>
                <w:color w:val="000000"/>
                <w:sz w:val="22"/>
                <w:szCs w:val="22"/>
              </w:rPr>
            </w:pPr>
            <w:r>
              <w:rPr>
                <w:rFonts w:eastAsia="仿宋_GB2312"/>
                <w:color w:val="000000"/>
                <w:kern w:val="0"/>
                <w:sz w:val="22"/>
                <w:szCs w:val="22"/>
                <w:lang w:bidi="ar"/>
              </w:rPr>
              <w:t>企业应当建立质量管理体系内部审核程序，确定审核准则、范围、频次、参加人员、方法、记录要求、纠正预防措施有效性评定等内容。</w:t>
            </w:r>
          </w:p>
        </w:tc>
        <w:tc>
          <w:tcPr>
            <w:tcW w:w="407" w:type="pct"/>
            <w:noWrap w:val="0"/>
            <w:vAlign w:val="center"/>
          </w:tcPr>
          <w:p w14:paraId="3D2833D1">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55D8B7BC">
            <w:pPr>
              <w:widowControl/>
              <w:jc w:val="center"/>
              <w:textAlignment w:val="center"/>
              <w:rPr>
                <w:rFonts w:eastAsia="仿宋_GB2312"/>
                <w:color w:val="000000"/>
                <w:sz w:val="22"/>
                <w:szCs w:val="22"/>
              </w:rPr>
            </w:pPr>
            <w:r>
              <w:rPr>
                <w:rFonts w:eastAsia="仿宋_GB2312"/>
                <w:color w:val="000000"/>
                <w:kern w:val="0"/>
                <w:sz w:val="22"/>
                <w:szCs w:val="22"/>
                <w:lang w:bidi="ar"/>
              </w:rPr>
              <w:t>《规范》第一百二十八条</w:t>
            </w:r>
          </w:p>
        </w:tc>
      </w:tr>
      <w:tr w14:paraId="0B4C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589" w:type="pct"/>
            <w:vMerge w:val="continue"/>
            <w:noWrap w:val="0"/>
            <w:vAlign w:val="center"/>
          </w:tcPr>
          <w:p w14:paraId="7EE06E68">
            <w:pPr>
              <w:jc w:val="center"/>
              <w:rPr>
                <w:rFonts w:eastAsia="仿宋_GB2312"/>
                <w:color w:val="000000"/>
                <w:sz w:val="22"/>
                <w:szCs w:val="22"/>
              </w:rPr>
            </w:pPr>
          </w:p>
        </w:tc>
        <w:tc>
          <w:tcPr>
            <w:tcW w:w="326" w:type="pct"/>
            <w:noWrap w:val="0"/>
            <w:vAlign w:val="center"/>
          </w:tcPr>
          <w:p w14:paraId="26C10A77">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201</w:t>
            </w:r>
          </w:p>
        </w:tc>
        <w:tc>
          <w:tcPr>
            <w:tcW w:w="523" w:type="pct"/>
            <w:noWrap w:val="0"/>
            <w:vAlign w:val="center"/>
          </w:tcPr>
          <w:p w14:paraId="1A5FDBB0">
            <w:pPr>
              <w:widowControl/>
              <w:jc w:val="center"/>
              <w:textAlignment w:val="center"/>
              <w:rPr>
                <w:rFonts w:eastAsia="仿宋_GB2312"/>
                <w:color w:val="000000"/>
                <w:sz w:val="22"/>
                <w:szCs w:val="22"/>
              </w:rPr>
            </w:pPr>
            <w:r>
              <w:rPr>
                <w:rFonts w:eastAsia="仿宋_GB2312"/>
                <w:color w:val="000000"/>
                <w:kern w:val="0"/>
                <w:sz w:val="22"/>
                <w:szCs w:val="22"/>
                <w:lang w:bidi="ar"/>
              </w:rPr>
              <w:t>14.8.2</w:t>
            </w:r>
          </w:p>
        </w:tc>
        <w:tc>
          <w:tcPr>
            <w:tcW w:w="2496" w:type="pct"/>
            <w:noWrap w:val="0"/>
            <w:vAlign w:val="center"/>
          </w:tcPr>
          <w:p w14:paraId="4A676DE1">
            <w:pPr>
              <w:widowControl/>
              <w:jc w:val="left"/>
              <w:textAlignment w:val="center"/>
              <w:rPr>
                <w:rFonts w:eastAsia="仿宋_GB2312"/>
                <w:color w:val="000000"/>
                <w:sz w:val="22"/>
                <w:szCs w:val="22"/>
              </w:rPr>
            </w:pPr>
            <w:r>
              <w:rPr>
                <w:rFonts w:eastAsia="仿宋_GB2312"/>
                <w:color w:val="000000"/>
                <w:kern w:val="0"/>
                <w:sz w:val="22"/>
                <w:szCs w:val="22"/>
                <w:lang w:bidi="ar"/>
              </w:rPr>
              <w:t>企业应当制定内部审核计划，按计划实施内部审核并形成审核报告，对审核发现的不合格问题应当采取纠正预防措施。</w:t>
            </w:r>
          </w:p>
        </w:tc>
        <w:tc>
          <w:tcPr>
            <w:tcW w:w="407" w:type="pct"/>
            <w:noWrap w:val="0"/>
            <w:vAlign w:val="center"/>
          </w:tcPr>
          <w:p w14:paraId="3DDB9F8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7252FA49">
            <w:pPr>
              <w:widowControl/>
              <w:jc w:val="center"/>
              <w:textAlignment w:val="center"/>
              <w:rPr>
                <w:rFonts w:eastAsia="仿宋_GB2312"/>
                <w:color w:val="000000"/>
                <w:sz w:val="22"/>
                <w:szCs w:val="22"/>
              </w:rPr>
            </w:pPr>
            <w:r>
              <w:rPr>
                <w:rFonts w:eastAsia="仿宋_GB2312"/>
                <w:color w:val="000000"/>
                <w:kern w:val="0"/>
                <w:sz w:val="22"/>
                <w:szCs w:val="22"/>
                <w:lang w:bidi="ar"/>
              </w:rPr>
              <w:t>《规范》第一百二十八条</w:t>
            </w:r>
          </w:p>
        </w:tc>
      </w:tr>
      <w:tr w14:paraId="016F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589" w:type="pct"/>
            <w:vMerge w:val="continue"/>
            <w:noWrap w:val="0"/>
            <w:vAlign w:val="center"/>
          </w:tcPr>
          <w:p w14:paraId="098E083E">
            <w:pPr>
              <w:jc w:val="center"/>
              <w:rPr>
                <w:rFonts w:eastAsia="仿宋_GB2312"/>
                <w:color w:val="000000"/>
                <w:sz w:val="22"/>
                <w:szCs w:val="22"/>
              </w:rPr>
            </w:pPr>
          </w:p>
        </w:tc>
        <w:tc>
          <w:tcPr>
            <w:tcW w:w="326" w:type="pct"/>
            <w:noWrap w:val="0"/>
            <w:vAlign w:val="center"/>
          </w:tcPr>
          <w:p w14:paraId="31D2CF25">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202</w:t>
            </w:r>
          </w:p>
        </w:tc>
        <w:tc>
          <w:tcPr>
            <w:tcW w:w="523" w:type="pct"/>
            <w:noWrap w:val="0"/>
            <w:vAlign w:val="center"/>
          </w:tcPr>
          <w:p w14:paraId="72B3AC02">
            <w:pPr>
              <w:widowControl/>
              <w:jc w:val="center"/>
              <w:textAlignment w:val="center"/>
              <w:rPr>
                <w:rFonts w:eastAsia="仿宋_GB2312"/>
                <w:color w:val="000000"/>
                <w:sz w:val="22"/>
                <w:szCs w:val="22"/>
              </w:rPr>
            </w:pPr>
            <w:r>
              <w:rPr>
                <w:rFonts w:eastAsia="仿宋_GB2312"/>
                <w:color w:val="000000"/>
                <w:kern w:val="0"/>
                <w:sz w:val="22"/>
                <w:szCs w:val="22"/>
                <w:lang w:bidi="ar"/>
              </w:rPr>
              <w:t>14.9.1</w:t>
            </w:r>
          </w:p>
        </w:tc>
        <w:tc>
          <w:tcPr>
            <w:tcW w:w="2496" w:type="pct"/>
            <w:noWrap w:val="0"/>
            <w:vAlign w:val="center"/>
          </w:tcPr>
          <w:p w14:paraId="225C0BF4">
            <w:pPr>
              <w:widowControl/>
              <w:jc w:val="left"/>
              <w:textAlignment w:val="center"/>
              <w:rPr>
                <w:rFonts w:eastAsia="仿宋_GB2312"/>
                <w:color w:val="000000"/>
                <w:sz w:val="22"/>
                <w:szCs w:val="22"/>
              </w:rPr>
            </w:pPr>
            <w:r>
              <w:rPr>
                <w:rFonts w:eastAsia="仿宋_GB2312"/>
                <w:color w:val="000000"/>
                <w:kern w:val="0"/>
                <w:sz w:val="22"/>
                <w:szCs w:val="22"/>
                <w:lang w:bidi="ar"/>
              </w:rPr>
              <w:t>企业应当建立管理评审程序，定期开展管理评审。管理评审内容应当包括质量风险回顾、产品质量评价以及质量管理体系变更需求、法规符合性和改进的可能性等。</w:t>
            </w:r>
          </w:p>
        </w:tc>
        <w:tc>
          <w:tcPr>
            <w:tcW w:w="407" w:type="pct"/>
            <w:noWrap w:val="0"/>
            <w:vAlign w:val="center"/>
          </w:tcPr>
          <w:p w14:paraId="36815A5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48EE2787">
            <w:pPr>
              <w:widowControl/>
              <w:jc w:val="center"/>
              <w:textAlignment w:val="center"/>
              <w:rPr>
                <w:rFonts w:eastAsia="仿宋_GB2312"/>
                <w:color w:val="000000"/>
                <w:sz w:val="22"/>
                <w:szCs w:val="22"/>
              </w:rPr>
            </w:pPr>
            <w:r>
              <w:rPr>
                <w:rFonts w:eastAsia="仿宋_GB2312"/>
                <w:color w:val="000000"/>
                <w:kern w:val="0"/>
                <w:sz w:val="22"/>
                <w:szCs w:val="22"/>
                <w:lang w:bidi="ar"/>
              </w:rPr>
              <w:t>《规范》第一百二十九条</w:t>
            </w:r>
          </w:p>
        </w:tc>
      </w:tr>
      <w:tr w14:paraId="1D01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89" w:type="pct"/>
            <w:vMerge w:val="continue"/>
            <w:noWrap w:val="0"/>
            <w:vAlign w:val="center"/>
          </w:tcPr>
          <w:p w14:paraId="2D5936E7">
            <w:pPr>
              <w:jc w:val="center"/>
              <w:rPr>
                <w:rFonts w:eastAsia="仿宋_GB2312"/>
                <w:color w:val="000000"/>
                <w:sz w:val="22"/>
                <w:szCs w:val="22"/>
              </w:rPr>
            </w:pPr>
          </w:p>
        </w:tc>
        <w:tc>
          <w:tcPr>
            <w:tcW w:w="326" w:type="pct"/>
            <w:noWrap w:val="0"/>
            <w:vAlign w:val="center"/>
          </w:tcPr>
          <w:p w14:paraId="7CC943BD">
            <w:pPr>
              <w:widowControl/>
              <w:jc w:val="center"/>
              <w:textAlignment w:val="center"/>
              <w:rPr>
                <w:rFonts w:eastAsia="仿宋_GB2312"/>
                <w:color w:val="000000"/>
                <w:kern w:val="0"/>
                <w:sz w:val="22"/>
                <w:szCs w:val="22"/>
                <w:lang w:bidi="ar"/>
              </w:rPr>
            </w:pPr>
            <w:r>
              <w:rPr>
                <w:rFonts w:eastAsia="仿宋_GB2312"/>
                <w:color w:val="000000"/>
                <w:kern w:val="0"/>
                <w:sz w:val="22"/>
                <w:szCs w:val="22"/>
                <w:lang w:bidi="ar"/>
              </w:rPr>
              <w:t>203</w:t>
            </w:r>
          </w:p>
        </w:tc>
        <w:tc>
          <w:tcPr>
            <w:tcW w:w="523" w:type="pct"/>
            <w:noWrap w:val="0"/>
            <w:vAlign w:val="center"/>
          </w:tcPr>
          <w:p w14:paraId="6AFD48B3">
            <w:pPr>
              <w:widowControl/>
              <w:jc w:val="center"/>
              <w:textAlignment w:val="center"/>
              <w:rPr>
                <w:rFonts w:eastAsia="仿宋_GB2312"/>
                <w:color w:val="000000"/>
                <w:sz w:val="22"/>
                <w:szCs w:val="22"/>
              </w:rPr>
            </w:pPr>
            <w:r>
              <w:rPr>
                <w:rFonts w:eastAsia="仿宋_GB2312"/>
                <w:color w:val="000000"/>
                <w:kern w:val="0"/>
                <w:sz w:val="22"/>
                <w:szCs w:val="22"/>
                <w:lang w:bidi="ar"/>
              </w:rPr>
              <w:t>14.9.2</w:t>
            </w:r>
          </w:p>
        </w:tc>
        <w:tc>
          <w:tcPr>
            <w:tcW w:w="2496" w:type="pct"/>
            <w:noWrap w:val="0"/>
            <w:vAlign w:val="center"/>
          </w:tcPr>
          <w:p w14:paraId="62414059">
            <w:pPr>
              <w:widowControl/>
              <w:jc w:val="left"/>
              <w:textAlignment w:val="center"/>
              <w:rPr>
                <w:rFonts w:eastAsia="仿宋_GB2312"/>
                <w:color w:val="000000"/>
                <w:sz w:val="22"/>
                <w:szCs w:val="22"/>
              </w:rPr>
            </w:pPr>
            <w:r>
              <w:rPr>
                <w:rFonts w:eastAsia="仿宋_GB2312"/>
                <w:color w:val="000000"/>
                <w:kern w:val="0"/>
                <w:sz w:val="22"/>
                <w:szCs w:val="22"/>
                <w:lang w:bidi="ar"/>
              </w:rPr>
              <w:t>企业应当形成管理评审报告并有相应改进措施，确保质量管理体系的持续适宜性、充分性和有效性。</w:t>
            </w:r>
          </w:p>
        </w:tc>
        <w:tc>
          <w:tcPr>
            <w:tcW w:w="407" w:type="pct"/>
            <w:noWrap w:val="0"/>
            <w:vAlign w:val="center"/>
          </w:tcPr>
          <w:p w14:paraId="179D551E">
            <w:pPr>
              <w:widowControl/>
              <w:jc w:val="center"/>
              <w:textAlignment w:val="center"/>
              <w:rPr>
                <w:rFonts w:eastAsia="仿宋_GB2312"/>
                <w:color w:val="000000"/>
                <w:sz w:val="22"/>
                <w:szCs w:val="22"/>
              </w:rPr>
            </w:pPr>
            <w:r>
              <w:rPr>
                <w:rFonts w:eastAsia="仿宋_GB2312"/>
                <w:color w:val="000000"/>
                <w:kern w:val="0"/>
                <w:sz w:val="22"/>
                <w:szCs w:val="22"/>
                <w:lang w:bidi="ar"/>
              </w:rPr>
              <w:t>*</w:t>
            </w:r>
          </w:p>
        </w:tc>
        <w:tc>
          <w:tcPr>
            <w:tcW w:w="657" w:type="pct"/>
            <w:noWrap w:val="0"/>
            <w:vAlign w:val="center"/>
          </w:tcPr>
          <w:p w14:paraId="0930DEE7">
            <w:pPr>
              <w:widowControl/>
              <w:jc w:val="center"/>
              <w:textAlignment w:val="center"/>
              <w:rPr>
                <w:rFonts w:eastAsia="仿宋_GB2312"/>
                <w:color w:val="000000"/>
                <w:sz w:val="22"/>
                <w:szCs w:val="22"/>
              </w:rPr>
            </w:pPr>
            <w:r>
              <w:rPr>
                <w:rFonts w:eastAsia="仿宋_GB2312"/>
                <w:color w:val="000000"/>
                <w:kern w:val="0"/>
                <w:sz w:val="22"/>
                <w:szCs w:val="22"/>
                <w:lang w:bidi="ar"/>
              </w:rPr>
              <w:t>《规范》第一百二十九条</w:t>
            </w:r>
          </w:p>
        </w:tc>
      </w:tr>
    </w:tbl>
    <w:p w14:paraId="1F50144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4E615C"/>
    <w:rsid w:val="1A4E615C"/>
    <w:rsid w:val="3D132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3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5624</Words>
  <Characters>6036</Characters>
  <Lines>0</Lines>
  <Paragraphs>0</Paragraphs>
  <TotalTime>0</TotalTime>
  <ScaleCrop>false</ScaleCrop>
  <LinksUpToDate>false</LinksUpToDate>
  <CharactersWithSpaces>6043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2026-10-30T08:46:00Z</dcterms:created>
  <dc:creator>YU</dc:creator>
  <cp:lastModifiedBy>YU</cp:lastModifiedBy>
  <dcterms:modified xsi:type="dcterms:W3CDTF">2026-10-30T08:53:24Z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03D3B5AA5A044725B54AF0F9D41E6B55_11</vt:lpwstr>
  </property>
  <property fmtid="{D5CDD505-2E9C-101B-9397-08002B2CF9AE}" pid="4" name="KSOTemplateDocerSaveRecord">
    <vt:lpwstr>eyJoZGlkIjoiNzUzMjcxYjI3MDRjMDIwZmVmYTgzNGM3MjE3OGJkMDMiLCJ1c2VySWQiOiIyNzgyMDExNzcifQ==</vt:lpwstr>
  </property>
</Properties>
</file>