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FB3B9">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《医用针式注射系统  要求和测试方法 第 4部分：电子和机电笔式注射器》编制说明</w:t>
      </w:r>
    </w:p>
    <w:p w14:paraId="1E5BC723">
      <w:pPr>
        <w:spacing w:before="156" w:beforeLines="50" w:after="156" w:afterLines="50"/>
        <w:rPr>
          <w:rFonts w:ascii="黑体" w:hAnsi="黑体" w:eastAsia="黑体"/>
          <w:color w:val="auto"/>
          <w:highlight w:val="none"/>
        </w:rPr>
      </w:pPr>
      <w:r>
        <w:rPr>
          <w:rFonts w:hint="eastAsia" w:ascii="黑体" w:hAnsi="黑体" w:eastAsia="黑体"/>
          <w:color w:val="auto"/>
          <w:highlight w:val="none"/>
        </w:rPr>
        <w:t>一、工作简况</w:t>
      </w:r>
    </w:p>
    <w:p w14:paraId="369FF97E">
      <w:pPr>
        <w:numPr>
          <w:ilvl w:val="0"/>
          <w:numId w:val="1"/>
        </w:numPr>
        <w:ind w:left="0" w:leftChars="0" w:firstLine="0" w:firstLineChars="0"/>
        <w:rPr>
          <w:rFonts w:hint="eastAsia"/>
          <w:color w:val="auto"/>
          <w:highlight w:val="none"/>
          <w:lang w:val="en-US" w:eastAsia="zh-CN"/>
        </w:rPr>
      </w:pPr>
      <w:r>
        <w:rPr>
          <w:rFonts w:hint="eastAsia"/>
          <w:color w:val="auto"/>
          <w:highlight w:val="none"/>
          <w:lang w:val="en-US" w:eastAsia="zh-CN"/>
        </w:rPr>
        <w:t>任务来源</w:t>
      </w:r>
    </w:p>
    <w:p w14:paraId="0823BB87">
      <w:pPr>
        <w:keepNext w:val="0"/>
        <w:keepLines w:val="0"/>
        <w:widowControl/>
        <w:suppressLineNumbers w:val="0"/>
        <w:jc w:val="left"/>
        <w:rPr>
          <w:rFonts w:hint="eastAsia" w:eastAsia="宋体"/>
          <w:bCs/>
          <w:color w:val="auto"/>
          <w:highlight w:val="none"/>
          <w:lang w:val="en-US" w:eastAsia="zh-CN"/>
        </w:rPr>
      </w:pPr>
      <w:r>
        <w:rPr>
          <w:rFonts w:hint="eastAsia" w:eastAsia="宋体"/>
          <w:bCs/>
          <w:color w:val="auto"/>
          <w:highlight w:val="none"/>
          <w:lang w:val="en-US" w:eastAsia="zh-CN"/>
        </w:rPr>
        <w:t xml:space="preserve"> </w:t>
      </w:r>
      <w:bookmarkStart w:id="0" w:name="OLE_LINK14"/>
      <w:bookmarkStart w:id="1" w:name="OLE_LINK13"/>
      <w:r>
        <w:rPr>
          <w:rFonts w:hint="eastAsia" w:eastAsia="宋体"/>
          <w:bCs/>
          <w:color w:val="auto"/>
          <w:highlight w:val="none"/>
          <w:lang w:val="en-US" w:eastAsia="zh-CN"/>
        </w:rPr>
        <w:t>根据《国家药监局综合司关于印发2026年医疗器械行业标准制修订计划项目的通知》（药监综械注〔2026〕17号）的安排，行业标准《医用针式注射系统  要求和测试方法 第 4部分：电子和机电笔式注射器》</w:t>
      </w:r>
      <w:bookmarkEnd w:id="0"/>
      <w:bookmarkEnd w:id="1"/>
      <w:r>
        <w:rPr>
          <w:rFonts w:hint="eastAsia" w:eastAsia="宋体"/>
          <w:bCs/>
          <w:color w:val="auto"/>
          <w:highlight w:val="none"/>
          <w:lang w:val="en-US" w:eastAsia="zh-CN"/>
        </w:rPr>
        <w:t>，项目编号为N2026045-T-sh，由全国医用注射器（针）标准化技术委员会负责组织起草并归口。</w:t>
      </w:r>
    </w:p>
    <w:p w14:paraId="2103DA47">
      <w:pPr>
        <w:numPr>
          <w:ilvl w:val="0"/>
          <w:numId w:val="1"/>
        </w:numPr>
        <w:ind w:left="0" w:leftChars="0" w:firstLine="0" w:firstLineChars="0"/>
        <w:rPr>
          <w:rFonts w:hint="eastAsia"/>
          <w:color w:val="auto"/>
          <w:highlight w:val="none"/>
          <w:lang w:val="en-US" w:eastAsia="zh-CN"/>
        </w:rPr>
      </w:pPr>
      <w:r>
        <w:rPr>
          <w:rFonts w:hint="eastAsia"/>
          <w:color w:val="auto"/>
          <w:highlight w:val="none"/>
          <w:lang w:val="en-US" w:eastAsia="zh-CN"/>
        </w:rPr>
        <w:t>制修订背景</w:t>
      </w:r>
    </w:p>
    <w:p w14:paraId="58FFC07E">
      <w:pPr>
        <w:ind w:firstLine="420" w:firstLineChars="200"/>
        <w:rPr>
          <w:rFonts w:hint="eastAsia" w:eastAsia="宋体"/>
          <w:bCs/>
          <w:color w:val="auto"/>
          <w:highlight w:val="none"/>
          <w:lang w:val="en-US" w:eastAsia="zh-CN"/>
        </w:rPr>
      </w:pPr>
      <w:r>
        <w:rPr>
          <w:rFonts w:hint="eastAsia" w:eastAsia="宋体"/>
          <w:bCs/>
          <w:color w:val="auto"/>
          <w:highlight w:val="none"/>
          <w:lang w:val="en-US" w:eastAsia="zh-CN"/>
        </w:rPr>
        <w:t>随着近些年患者自行给药医疗器械技术的不断发展，国际及国内外已经有越来越多的电子和机电笔式注射器产品上市。为了确保行业健康有序地发展，有必要转化该国际标准，和国际接轨，为行业提供技术参考。</w:t>
      </w:r>
    </w:p>
    <w:p w14:paraId="5D7426E7">
      <w:pPr>
        <w:rPr>
          <w:rFonts w:hint="eastAsia"/>
          <w:color w:val="auto"/>
          <w:highlight w:val="none"/>
          <w:lang w:eastAsia="zh-CN"/>
        </w:rPr>
      </w:pPr>
      <w:r>
        <w:rPr>
          <w:rFonts w:hint="eastAsia"/>
          <w:color w:val="auto"/>
          <w:highlight w:val="none"/>
        </w:rPr>
        <w:t>（</w:t>
      </w:r>
      <w:r>
        <w:rPr>
          <w:rFonts w:hint="eastAsia"/>
          <w:color w:val="auto"/>
          <w:highlight w:val="none"/>
          <w:lang w:val="en-US" w:eastAsia="zh-CN"/>
        </w:rPr>
        <w:t>三</w:t>
      </w:r>
      <w:r>
        <w:rPr>
          <w:rFonts w:hint="eastAsia"/>
          <w:color w:val="auto"/>
          <w:highlight w:val="none"/>
        </w:rPr>
        <w:t>）</w:t>
      </w:r>
      <w:r>
        <w:rPr>
          <w:rFonts w:hint="eastAsia"/>
          <w:color w:val="auto"/>
          <w:highlight w:val="none"/>
          <w:lang w:val="en-US" w:eastAsia="zh-CN"/>
        </w:rPr>
        <w:t>起草</w:t>
      </w:r>
      <w:r>
        <w:rPr>
          <w:rFonts w:hint="eastAsia"/>
          <w:color w:val="auto"/>
          <w:highlight w:val="none"/>
          <w:lang w:eastAsia="zh-CN"/>
        </w:rPr>
        <w:t>过程</w:t>
      </w:r>
    </w:p>
    <w:p w14:paraId="262DEFEF">
      <w:pPr>
        <w:rPr>
          <w:rFonts w:hint="eastAsia"/>
          <w:color w:val="auto"/>
          <w:highlight w:val="none"/>
          <w:lang w:val="en-US" w:eastAsia="zh-CN"/>
        </w:rPr>
      </w:pPr>
      <w:r>
        <w:rPr>
          <w:rFonts w:hint="eastAsia"/>
          <w:color w:val="auto"/>
          <w:highlight w:val="none"/>
          <w:lang w:val="en-US" w:eastAsia="zh-CN"/>
        </w:rPr>
        <w:t>1. 起草阶段</w:t>
      </w:r>
    </w:p>
    <w:p w14:paraId="3B43542F">
      <w:pPr>
        <w:ind w:firstLine="420" w:firstLineChars="200"/>
        <w:rPr>
          <w:rFonts w:hint="eastAsia" w:eastAsia="宋体"/>
          <w:bCs/>
          <w:color w:val="auto"/>
          <w:highlight w:val="none"/>
          <w:lang w:val="en-US" w:eastAsia="zh-CN"/>
        </w:rPr>
      </w:pPr>
      <w:r>
        <w:rPr>
          <w:rFonts w:hint="eastAsia" w:eastAsia="宋体"/>
          <w:bCs/>
          <w:color w:val="auto"/>
          <w:highlight w:val="none"/>
          <w:lang w:val="en-US" w:eastAsia="zh-CN"/>
        </w:rPr>
        <w:t>在接到标准修订任务后，全国医用注射器（针）标准化技术委员会秘书处召集上海市医疗器械检验研究院、凯联医疗科技（上海）有限公司、兹位克测试技术(上海)有限公司、浙江省医疗器械检验研究院、上海新耀湃科医疗科技股份有限公司、杭州钱唐隆腾医疗技术有限公司</w:t>
      </w:r>
      <w:r>
        <w:rPr>
          <w:rFonts w:hint="eastAsia" w:eastAsia="宋体"/>
          <w:bCs/>
          <w:color w:val="auto"/>
          <w:highlight w:val="none"/>
          <w:lang w:val="en-US" w:eastAsia="zh-CN"/>
        </w:rPr>
        <w:t>共同组成标准起草及验证工作组，着手开展了标准起草及验证工作。2026年4月21</w:t>
      </w:r>
      <w:bookmarkStart w:id="2" w:name="_GoBack"/>
      <w:bookmarkEnd w:id="2"/>
      <w:r>
        <w:rPr>
          <w:rFonts w:hint="eastAsia" w:eastAsia="宋体"/>
          <w:bCs/>
          <w:color w:val="auto"/>
          <w:highlight w:val="none"/>
          <w:lang w:val="en-US" w:eastAsia="zh-CN"/>
        </w:rPr>
        <w:t>日召开首次工作组会议，会上对标准草案稿进行了讨论并对标准编制要求和验证工作安排做了部署，讨论形成验证方案；2026年7月6日再次召开工作组会议，就验证情况及标准内容再次进行讨论后，形成征求意见文件。</w:t>
      </w:r>
    </w:p>
    <w:p w14:paraId="07FBE805">
      <w:pPr>
        <w:keepNext w:val="0"/>
        <w:keepLines w:val="0"/>
        <w:widowControl/>
        <w:suppressLineNumbers w:val="0"/>
        <w:jc w:val="left"/>
        <w:textAlignment w:val="center"/>
        <w:rPr>
          <w:rFonts w:hint="default"/>
          <w:bCs/>
          <w:color w:val="auto"/>
          <w:highlight w:val="none"/>
          <w:lang w:val="en-US" w:eastAsia="zh-CN"/>
        </w:rPr>
      </w:pPr>
      <w:r>
        <w:rPr>
          <w:rFonts w:hint="eastAsia"/>
          <w:bCs/>
          <w:color w:val="auto"/>
          <w:highlight w:val="none"/>
          <w:lang w:val="en-US" w:eastAsia="zh-CN"/>
        </w:rPr>
        <w:t>2.下一阶段工作计划</w:t>
      </w:r>
    </w:p>
    <w:p w14:paraId="10AB08D7">
      <w:pPr>
        <w:ind w:firstLine="420" w:firstLineChars="200"/>
        <w:rPr>
          <w:bCs/>
          <w:color w:val="auto"/>
          <w:highlight w:val="none"/>
        </w:rPr>
      </w:pPr>
      <w:r>
        <w:rPr>
          <w:rFonts w:hint="eastAsia"/>
          <w:bCs/>
          <w:color w:val="auto"/>
          <w:highlight w:val="none"/>
        </w:rPr>
        <w:t>征求意见阶段：202</w:t>
      </w:r>
      <w:r>
        <w:rPr>
          <w:rFonts w:hint="eastAsia"/>
          <w:bCs/>
          <w:color w:val="auto"/>
          <w:highlight w:val="none"/>
          <w:lang w:val="en-US" w:eastAsia="zh-CN"/>
        </w:rPr>
        <w:t>6</w:t>
      </w:r>
      <w:r>
        <w:rPr>
          <w:rFonts w:hint="eastAsia"/>
          <w:bCs/>
          <w:color w:val="auto"/>
          <w:highlight w:val="none"/>
        </w:rPr>
        <w:t>年</w:t>
      </w:r>
      <w:r>
        <w:rPr>
          <w:rFonts w:hint="eastAsia"/>
          <w:bCs/>
          <w:color w:val="auto"/>
          <w:highlight w:val="none"/>
          <w:lang w:val="en-US" w:eastAsia="zh-CN"/>
        </w:rPr>
        <w:t>7</w:t>
      </w:r>
      <w:r>
        <w:rPr>
          <w:rFonts w:hint="eastAsia"/>
          <w:bCs/>
          <w:color w:val="auto"/>
          <w:highlight w:val="none"/>
        </w:rPr>
        <w:t>月至202</w:t>
      </w:r>
      <w:r>
        <w:rPr>
          <w:rFonts w:hint="eastAsia"/>
          <w:bCs/>
          <w:color w:val="auto"/>
          <w:highlight w:val="none"/>
          <w:lang w:val="en-US" w:eastAsia="zh-CN"/>
        </w:rPr>
        <w:t>6</w:t>
      </w:r>
      <w:r>
        <w:rPr>
          <w:rFonts w:hint="eastAsia"/>
          <w:bCs/>
          <w:color w:val="auto"/>
          <w:highlight w:val="none"/>
        </w:rPr>
        <w:t>年</w:t>
      </w:r>
      <w:r>
        <w:rPr>
          <w:rFonts w:hint="eastAsia"/>
          <w:bCs/>
          <w:color w:val="auto"/>
          <w:highlight w:val="none"/>
          <w:lang w:val="en-US" w:eastAsia="zh-CN"/>
        </w:rPr>
        <w:t>9</w:t>
      </w:r>
      <w:r>
        <w:rPr>
          <w:rFonts w:hint="eastAsia"/>
          <w:bCs/>
          <w:color w:val="auto"/>
          <w:highlight w:val="none"/>
        </w:rPr>
        <w:t>月，公开征求意见，形成《意见汇总处理表》。</w:t>
      </w:r>
    </w:p>
    <w:p w14:paraId="7BFB71D4">
      <w:pPr>
        <w:rPr>
          <w:bCs/>
          <w:color w:val="auto"/>
          <w:highlight w:val="none"/>
        </w:rPr>
      </w:pPr>
      <w:r>
        <w:rPr>
          <w:bCs/>
          <w:color w:val="auto"/>
          <w:highlight w:val="none"/>
        </w:rPr>
        <w:tab/>
      </w:r>
      <w:r>
        <w:rPr>
          <w:rFonts w:hint="eastAsia"/>
          <w:bCs/>
          <w:color w:val="auto"/>
          <w:highlight w:val="none"/>
        </w:rPr>
        <w:t>验证阶段：202</w:t>
      </w:r>
      <w:r>
        <w:rPr>
          <w:rFonts w:hint="eastAsia"/>
          <w:bCs/>
          <w:color w:val="auto"/>
          <w:highlight w:val="none"/>
          <w:lang w:val="en-US" w:eastAsia="zh-CN"/>
        </w:rPr>
        <w:t>6</w:t>
      </w:r>
      <w:r>
        <w:rPr>
          <w:rFonts w:hint="eastAsia"/>
          <w:bCs/>
          <w:color w:val="auto"/>
          <w:highlight w:val="none"/>
        </w:rPr>
        <w:t>年</w:t>
      </w:r>
      <w:r>
        <w:rPr>
          <w:rFonts w:hint="eastAsia"/>
          <w:bCs/>
          <w:color w:val="auto"/>
          <w:highlight w:val="none"/>
          <w:lang w:val="en-US" w:eastAsia="zh-CN"/>
        </w:rPr>
        <w:t>4</w:t>
      </w:r>
      <w:r>
        <w:rPr>
          <w:rFonts w:hint="eastAsia"/>
          <w:bCs/>
          <w:color w:val="auto"/>
          <w:highlight w:val="none"/>
        </w:rPr>
        <w:t>月-10月。</w:t>
      </w:r>
    </w:p>
    <w:p w14:paraId="2708E74E">
      <w:pPr>
        <w:rPr>
          <w:rFonts w:hint="eastAsia"/>
          <w:bCs/>
          <w:color w:val="auto"/>
          <w:highlight w:val="none"/>
        </w:rPr>
      </w:pPr>
      <w:r>
        <w:rPr>
          <w:rFonts w:hint="eastAsia"/>
          <w:bCs/>
          <w:color w:val="auto"/>
          <w:highlight w:val="none"/>
        </w:rPr>
        <w:t xml:space="preserve">    审查阶段：202</w:t>
      </w:r>
      <w:r>
        <w:rPr>
          <w:rFonts w:hint="eastAsia"/>
          <w:bCs/>
          <w:color w:val="auto"/>
          <w:highlight w:val="none"/>
          <w:lang w:val="en-US" w:eastAsia="zh-CN"/>
        </w:rPr>
        <w:t>6</w:t>
      </w:r>
      <w:r>
        <w:rPr>
          <w:rFonts w:hint="eastAsia"/>
          <w:bCs/>
          <w:color w:val="auto"/>
          <w:highlight w:val="none"/>
        </w:rPr>
        <w:t>年</w:t>
      </w:r>
      <w:r>
        <w:rPr>
          <w:rFonts w:hint="eastAsia"/>
          <w:bCs/>
          <w:color w:val="auto"/>
          <w:highlight w:val="none"/>
          <w:lang w:val="en-US" w:eastAsia="zh-CN"/>
        </w:rPr>
        <w:t>10/</w:t>
      </w:r>
      <w:r>
        <w:rPr>
          <w:rFonts w:hint="eastAsia"/>
          <w:bCs/>
          <w:color w:val="auto"/>
          <w:highlight w:val="none"/>
        </w:rPr>
        <w:t>11月。</w:t>
      </w:r>
    </w:p>
    <w:p w14:paraId="2916682C">
      <w:pPr>
        <w:ind w:firstLine="420" w:firstLineChars="200"/>
        <w:rPr>
          <w:rFonts w:hint="eastAsia"/>
          <w:bCs/>
          <w:color w:val="auto"/>
          <w:highlight w:val="none"/>
        </w:rPr>
      </w:pPr>
      <w:r>
        <w:rPr>
          <w:rFonts w:hint="eastAsia"/>
          <w:bCs/>
          <w:color w:val="auto"/>
          <w:highlight w:val="none"/>
        </w:rPr>
        <w:t>报批阶段：202</w:t>
      </w:r>
      <w:r>
        <w:rPr>
          <w:rFonts w:hint="eastAsia"/>
          <w:bCs/>
          <w:color w:val="auto"/>
          <w:highlight w:val="none"/>
          <w:lang w:val="en-US" w:eastAsia="zh-CN"/>
        </w:rPr>
        <w:t>6</w:t>
      </w:r>
      <w:r>
        <w:rPr>
          <w:rFonts w:hint="eastAsia"/>
          <w:bCs/>
          <w:color w:val="auto"/>
          <w:highlight w:val="none"/>
        </w:rPr>
        <w:t>年12月。</w:t>
      </w:r>
    </w:p>
    <w:p w14:paraId="5EF44441">
      <w:pPr>
        <w:spacing w:before="156" w:beforeLines="50" w:after="156" w:afterLines="50"/>
        <w:rPr>
          <w:rFonts w:hint="eastAsia" w:ascii="黑体" w:hAnsi="黑体" w:eastAsia="黑体"/>
          <w:color w:val="auto"/>
          <w:highlight w:val="none"/>
          <w:lang w:eastAsia="zh-CN"/>
        </w:rPr>
      </w:pPr>
      <w:r>
        <w:rPr>
          <w:rFonts w:hint="eastAsia" w:ascii="黑体" w:hAnsi="黑体" w:eastAsia="黑体"/>
          <w:color w:val="auto"/>
          <w:highlight w:val="none"/>
        </w:rPr>
        <w:t>二、</w:t>
      </w:r>
      <w:r>
        <w:rPr>
          <w:rFonts w:ascii="黑体" w:hAnsi="黑体" w:eastAsia="黑体"/>
          <w:color w:val="auto"/>
          <w:highlight w:val="none"/>
        </w:rPr>
        <w:t>标准编制原则和</w:t>
      </w:r>
      <w:r>
        <w:rPr>
          <w:rFonts w:hint="eastAsia" w:ascii="黑体" w:hAnsi="黑体" w:eastAsia="黑体"/>
          <w:color w:val="auto"/>
          <w:highlight w:val="none"/>
        </w:rPr>
        <w:t>主要技术要求的依据</w:t>
      </w:r>
      <w:r>
        <w:rPr>
          <w:rFonts w:hint="eastAsia" w:ascii="黑体" w:hAnsi="黑体" w:eastAsia="黑体"/>
          <w:color w:val="auto"/>
          <w:highlight w:val="none"/>
          <w:lang w:eastAsia="zh-CN"/>
        </w:rPr>
        <w:t>及理由</w:t>
      </w:r>
    </w:p>
    <w:p w14:paraId="23E3E163">
      <w:pPr>
        <w:rPr>
          <w:color w:val="auto"/>
          <w:highlight w:val="none"/>
        </w:rPr>
      </w:pPr>
      <w:r>
        <w:rPr>
          <w:rFonts w:hint="eastAsia"/>
          <w:color w:val="auto"/>
          <w:highlight w:val="none"/>
        </w:rPr>
        <w:t>（一）标准编制的原则</w:t>
      </w:r>
    </w:p>
    <w:p w14:paraId="6A4BE42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Times New Roman" w:cs="宋体" w:eastAsiaTheme="minorEastAsia"/>
          <w:color w:val="auto"/>
          <w:szCs w:val="21"/>
          <w:highlight w:val="none"/>
          <w:lang w:eastAsia="zh-CN"/>
        </w:rPr>
      </w:pPr>
      <w:r>
        <w:rPr>
          <w:rFonts w:hint="eastAsia"/>
          <w:color w:val="auto"/>
          <w:szCs w:val="21"/>
          <w:highlight w:val="none"/>
        </w:rPr>
        <w:t>本文件依据G</w:t>
      </w:r>
      <w:r>
        <w:rPr>
          <w:color w:val="auto"/>
          <w:szCs w:val="21"/>
          <w:highlight w:val="none"/>
        </w:rPr>
        <w:t>B/T 1.1</w:t>
      </w:r>
      <w:r>
        <w:rPr>
          <w:rFonts w:hint="eastAsia"/>
          <w:color w:val="auto"/>
          <w:szCs w:val="21"/>
          <w:highlight w:val="none"/>
          <w:lang w:eastAsia="zh-CN"/>
        </w:rPr>
        <w:t>—</w:t>
      </w:r>
      <w:r>
        <w:rPr>
          <w:color w:val="auto"/>
          <w:szCs w:val="21"/>
          <w:highlight w:val="none"/>
        </w:rPr>
        <w:t>2020</w:t>
      </w:r>
      <w:r>
        <w:rPr>
          <w:rFonts w:hint="eastAsia"/>
          <w:color w:val="auto"/>
          <w:szCs w:val="21"/>
          <w:highlight w:val="none"/>
          <w:lang w:val="en-US" w:eastAsia="zh-CN"/>
        </w:rPr>
        <w:t>及</w:t>
      </w:r>
      <w:r>
        <w:rPr>
          <w:rFonts w:hint="eastAsia"/>
          <w:color w:val="auto"/>
          <w:szCs w:val="21"/>
          <w:highlight w:val="none"/>
        </w:rPr>
        <w:t>G</w:t>
      </w:r>
      <w:r>
        <w:rPr>
          <w:color w:val="auto"/>
          <w:szCs w:val="21"/>
          <w:highlight w:val="none"/>
        </w:rPr>
        <w:t>B/T 1.</w:t>
      </w:r>
      <w:r>
        <w:rPr>
          <w:rFonts w:hint="eastAsia"/>
          <w:color w:val="auto"/>
          <w:szCs w:val="21"/>
          <w:highlight w:val="none"/>
          <w:lang w:val="en-US" w:eastAsia="zh-CN"/>
        </w:rPr>
        <w:t>2</w:t>
      </w:r>
      <w:r>
        <w:rPr>
          <w:rFonts w:hint="eastAsia"/>
          <w:color w:val="auto"/>
          <w:szCs w:val="21"/>
          <w:highlight w:val="none"/>
          <w:lang w:eastAsia="zh-CN"/>
        </w:rPr>
        <w:t>—</w:t>
      </w:r>
      <w:r>
        <w:rPr>
          <w:color w:val="auto"/>
          <w:szCs w:val="21"/>
          <w:highlight w:val="none"/>
        </w:rPr>
        <w:t>2020</w:t>
      </w:r>
      <w:r>
        <w:rPr>
          <w:rFonts w:hint="eastAsia"/>
          <w:color w:val="auto"/>
          <w:szCs w:val="21"/>
          <w:highlight w:val="none"/>
        </w:rPr>
        <w:t>进行编写</w:t>
      </w:r>
      <w:r>
        <w:rPr>
          <w:rFonts w:hint="eastAsia"/>
          <w:color w:val="auto"/>
          <w:szCs w:val="21"/>
          <w:highlight w:val="none"/>
          <w:lang w:eastAsia="zh-CN"/>
        </w:rPr>
        <w:t>，</w:t>
      </w:r>
      <w:r>
        <w:rPr>
          <w:rFonts w:hint="eastAsia" w:asciiTheme="minorEastAsia" w:hAnsiTheme="minorEastAsia"/>
          <w:color w:val="auto"/>
          <w:szCs w:val="21"/>
          <w:highlight w:val="none"/>
        </w:rPr>
        <w:t>本标准的编写结合现有产品和实际使用及技术验证的情况遵守以下原则：</w:t>
      </w:r>
      <w:r>
        <w:rPr>
          <w:rFonts w:hint="eastAsia" w:ascii="宋体" w:hAnsi="Times New Roman" w:cs="宋体"/>
          <w:color w:val="auto"/>
          <w:szCs w:val="21"/>
          <w:highlight w:val="none"/>
        </w:rPr>
        <w:t>坚持统一性、协调性、适用性、规范性原则</w:t>
      </w:r>
      <w:r>
        <w:rPr>
          <w:rFonts w:hint="eastAsia" w:ascii="宋体" w:hAnsi="Times New Roman" w:cs="宋体"/>
          <w:color w:val="auto"/>
          <w:szCs w:val="21"/>
          <w:highlight w:val="none"/>
          <w:lang w:eastAsia="zh-CN"/>
        </w:rPr>
        <w:t>。</w:t>
      </w:r>
    </w:p>
    <w:p w14:paraId="00EEFB2F">
      <w:pPr>
        <w:rPr>
          <w:rFonts w:hint="eastAsia" w:eastAsiaTheme="minorEastAsia"/>
          <w:color w:val="auto"/>
          <w:highlight w:val="none"/>
          <w:lang w:eastAsia="zh-CN"/>
        </w:rPr>
      </w:pPr>
      <w:r>
        <w:rPr>
          <w:rFonts w:hint="eastAsia"/>
          <w:color w:val="auto"/>
          <w:highlight w:val="none"/>
        </w:rPr>
        <w:t>（二）标准主要内容</w:t>
      </w:r>
    </w:p>
    <w:p w14:paraId="00499D6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szCs w:val="21"/>
          <w:highlight w:val="none"/>
        </w:rPr>
      </w:pPr>
      <w:r>
        <w:rPr>
          <w:rFonts w:hint="eastAsia"/>
          <w:color w:val="auto"/>
          <w:szCs w:val="21"/>
          <w:highlight w:val="none"/>
        </w:rPr>
        <w:t>本文件规定了含电子元件（带或不带软件）的</w:t>
      </w:r>
      <w:r>
        <w:rPr>
          <w:rFonts w:hint="eastAsia"/>
          <w:color w:val="auto"/>
          <w:szCs w:val="21"/>
          <w:highlight w:val="none"/>
          <w:lang w:val="en-US" w:eastAsia="zh-CN"/>
        </w:rPr>
        <w:t>电子针式注射系统（以下简称</w:t>
      </w:r>
      <w:r>
        <w:rPr>
          <w:rFonts w:hint="eastAsia"/>
          <w:color w:val="auto"/>
          <w:szCs w:val="21"/>
          <w:highlight w:val="none"/>
        </w:rPr>
        <w:t>NIS-E</w:t>
      </w:r>
      <w:r>
        <w:rPr>
          <w:rFonts w:hint="eastAsia"/>
          <w:color w:val="auto"/>
          <w:szCs w:val="21"/>
          <w:highlight w:val="none"/>
          <w:lang w:val="en-US" w:eastAsia="zh-CN"/>
        </w:rPr>
        <w:t>）</w:t>
      </w:r>
      <w:r>
        <w:rPr>
          <w:rFonts w:hint="eastAsia"/>
          <w:color w:val="auto"/>
          <w:szCs w:val="21"/>
          <w:highlight w:val="none"/>
        </w:rPr>
        <w:t>的要求和试验方法。</w:t>
      </w:r>
    </w:p>
    <w:p w14:paraId="2328E38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szCs w:val="21"/>
          <w:highlight w:val="none"/>
        </w:rPr>
      </w:pPr>
      <w:r>
        <w:rPr>
          <w:rFonts w:hint="eastAsia"/>
          <w:color w:val="auto"/>
          <w:szCs w:val="21"/>
          <w:highlight w:val="none"/>
        </w:rPr>
        <w:t>本文件未规定可编程NIS-E中软件的要求和网络安全的要求。</w:t>
      </w:r>
    </w:p>
    <w:p w14:paraId="72AE24E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szCs w:val="21"/>
          <w:highlight w:val="none"/>
        </w:rPr>
      </w:pPr>
      <w:r>
        <w:rPr>
          <w:rFonts w:hint="eastAsia"/>
          <w:color w:val="auto"/>
          <w:szCs w:val="21"/>
          <w:highlight w:val="none"/>
        </w:rPr>
        <w:t>本文件适用于根据</w:t>
      </w:r>
      <w:r>
        <w:rPr>
          <w:rFonts w:hint="eastAsia"/>
          <w:color w:val="auto"/>
          <w:szCs w:val="21"/>
          <w:highlight w:val="none"/>
          <w:lang w:val="en-US" w:eastAsia="zh-CN"/>
        </w:rPr>
        <w:t>针式注射系统（以下简称</w:t>
      </w:r>
      <w:r>
        <w:rPr>
          <w:rFonts w:hint="eastAsia"/>
          <w:color w:val="auto"/>
          <w:szCs w:val="21"/>
          <w:highlight w:val="none"/>
        </w:rPr>
        <w:t>NIS</w:t>
      </w:r>
      <w:r>
        <w:rPr>
          <w:rFonts w:hint="eastAsia"/>
          <w:color w:val="auto"/>
          <w:szCs w:val="21"/>
          <w:highlight w:val="none"/>
          <w:lang w:val="en-US" w:eastAsia="zh-CN"/>
        </w:rPr>
        <w:t>）</w:t>
      </w:r>
      <w:r>
        <w:rPr>
          <w:rFonts w:hint="eastAsia"/>
          <w:color w:val="auto"/>
          <w:szCs w:val="21"/>
          <w:highlight w:val="none"/>
        </w:rPr>
        <w:t>/NIS-E预期用途，需与NIS或NIS-E物理连接的电子配件。</w:t>
      </w:r>
    </w:p>
    <w:p w14:paraId="1DC9F51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szCs w:val="21"/>
          <w:highlight w:val="none"/>
        </w:rPr>
      </w:pPr>
      <w:r>
        <w:rPr>
          <w:rFonts w:hint="eastAsia"/>
          <w:color w:val="auto"/>
          <w:szCs w:val="21"/>
          <w:highlight w:val="none"/>
        </w:rPr>
        <w:t>本文件也适用于根据NIS/NIS-E预期用途，旨在与NIS或NIS-E建立电气/导电连接的电子配件。</w:t>
      </w:r>
    </w:p>
    <w:p w14:paraId="67CBC73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szCs w:val="21"/>
          <w:highlight w:val="none"/>
        </w:rPr>
      </w:pPr>
      <w:r>
        <w:rPr>
          <w:rFonts w:hint="eastAsia"/>
          <w:color w:val="auto"/>
          <w:szCs w:val="21"/>
          <w:highlight w:val="none"/>
        </w:rPr>
        <w:t>NIS-E可以是一次性使用或可重复使用，操作时可与其他设备建立或不建立导电连接。该系统预期通过自我给药或由其他操作者（例如医护人员 )给药的方式向患者输送药物。</w:t>
      </w:r>
    </w:p>
    <w:p w14:paraId="62D10D8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szCs w:val="21"/>
          <w:highlight w:val="none"/>
        </w:rPr>
      </w:pPr>
      <w:r>
        <w:rPr>
          <w:rFonts w:hint="eastAsia"/>
          <w:color w:val="auto"/>
          <w:szCs w:val="21"/>
          <w:highlight w:val="none"/>
        </w:rPr>
        <w:t>注：</w:t>
      </w:r>
      <w:r>
        <w:rPr>
          <w:rFonts w:hint="eastAsia"/>
          <w:color w:val="auto"/>
          <w:szCs w:val="21"/>
          <w:highlight w:val="none"/>
          <w:lang w:val="en-US" w:eastAsia="zh-CN"/>
        </w:rPr>
        <w:t>GB 9706.1—2020</w:t>
      </w:r>
      <w:r>
        <w:rPr>
          <w:rFonts w:hint="eastAsia"/>
          <w:color w:val="auto"/>
          <w:szCs w:val="21"/>
          <w:highlight w:val="none"/>
        </w:rPr>
        <w:t>第 14 章阐述了软件生命周期过程。</w:t>
      </w:r>
    </w:p>
    <w:p w14:paraId="5425AC09">
      <w:pPr>
        <w:rPr>
          <w:color w:val="auto"/>
          <w:highlight w:val="none"/>
        </w:rPr>
      </w:pPr>
    </w:p>
    <w:p w14:paraId="3E5E55B6">
      <w:pPr>
        <w:numPr>
          <w:ilvl w:val="0"/>
          <w:numId w:val="2"/>
        </w:numPr>
        <w:rPr>
          <w:rFonts w:hint="eastAsia"/>
          <w:color w:val="auto"/>
          <w:highlight w:val="none"/>
          <w:lang w:eastAsia="zh-CN"/>
        </w:rPr>
      </w:pPr>
      <w:r>
        <w:rPr>
          <w:rFonts w:hint="eastAsia"/>
          <w:color w:val="auto"/>
          <w:highlight w:val="none"/>
          <w:lang w:eastAsia="zh-CN"/>
        </w:rPr>
        <w:t>主要技术要求的依据</w:t>
      </w:r>
    </w:p>
    <w:p w14:paraId="64C68203">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本文件修改采用ISO 11608-4:2022《医用针式注射系统 要求和试验方法 第4部分：电子和机电笔式注射器》</w:t>
      </w:r>
    </w:p>
    <w:p w14:paraId="3AA38F1E">
      <w:pPr>
        <w:numPr>
          <w:ilvl w:val="0"/>
          <w:numId w:val="3"/>
        </w:numPr>
        <w:spacing w:before="156" w:beforeLines="50" w:after="156" w:afterLines="50"/>
        <w:rPr>
          <w:rFonts w:hint="eastAsia" w:ascii="黑体" w:hAnsi="黑体" w:eastAsia="黑体"/>
          <w:color w:val="auto"/>
          <w:szCs w:val="22"/>
          <w:highlight w:val="none"/>
          <w:lang w:val="en-US" w:eastAsia="zh-CN"/>
        </w:rPr>
      </w:pPr>
      <w:r>
        <w:rPr>
          <w:rFonts w:hint="eastAsia" w:ascii="黑体" w:hAnsi="黑体" w:eastAsia="黑体"/>
          <w:color w:val="auto"/>
          <w:szCs w:val="22"/>
          <w:highlight w:val="none"/>
          <w:lang w:val="en-US" w:eastAsia="zh-CN"/>
        </w:rPr>
        <w:t>试验验证的分析、综述报告，技术经济论证，预期的经济效益、社会效益和生态效益</w:t>
      </w:r>
    </w:p>
    <w:p w14:paraId="081AA1AD">
      <w:pPr>
        <w:spacing w:line="240" w:lineRule="auto"/>
        <w:ind w:firstLine="420" w:firstLineChars="200"/>
        <w:rPr>
          <w:rFonts w:hint="default" w:eastAsia="宋体"/>
          <w:bCs/>
          <w:color w:val="auto"/>
          <w:highlight w:val="none"/>
          <w:lang w:val="en-US" w:eastAsia="zh-CN"/>
        </w:rPr>
      </w:pPr>
      <w:r>
        <w:rPr>
          <w:rFonts w:hint="eastAsia"/>
          <w:color w:val="auto"/>
          <w:highlight w:val="none"/>
          <w:lang w:val="en-US" w:eastAsia="zh-CN"/>
        </w:rPr>
        <w:t>根据首次工作组会议讨论形成的验证方案，</w:t>
      </w:r>
      <w:r>
        <w:rPr>
          <w:rFonts w:hint="eastAsia" w:eastAsia="宋体"/>
          <w:bCs/>
          <w:color w:val="auto"/>
          <w:highlight w:val="none"/>
          <w:lang w:val="en-US" w:eastAsia="zh-CN"/>
        </w:rPr>
        <w:t>部分验证单位就标准的要求分别进行相关验证。根据现有验证结果，标准中的要求是合理的，方法是可行的。</w:t>
      </w:r>
    </w:p>
    <w:p w14:paraId="0C38B754">
      <w:pPr>
        <w:numPr>
          <w:ilvl w:val="0"/>
          <w:numId w:val="0"/>
        </w:numPr>
        <w:spacing w:before="156" w:beforeLines="50" w:after="156" w:afterLines="50"/>
        <w:rPr>
          <w:rFonts w:hint="default" w:ascii="黑体" w:hAnsi="黑体" w:eastAsia="黑体"/>
          <w:color w:val="auto"/>
          <w:szCs w:val="22"/>
          <w:highlight w:val="none"/>
          <w:lang w:val="en-US" w:eastAsia="zh-CN"/>
        </w:rPr>
      </w:pPr>
    </w:p>
    <w:p w14:paraId="14748420">
      <w:pPr>
        <w:numPr>
          <w:ilvl w:val="0"/>
          <w:numId w:val="4"/>
        </w:numPr>
        <w:spacing w:before="156" w:beforeLines="50" w:after="156" w:afterLines="50"/>
        <w:ind w:left="0" w:leftChars="0" w:firstLine="0" w:firstLineChars="0"/>
        <w:rPr>
          <w:rFonts w:hint="default" w:ascii="黑体" w:hAnsi="黑体" w:eastAsia="黑体"/>
          <w:color w:val="auto"/>
          <w:szCs w:val="22"/>
          <w:highlight w:val="none"/>
          <w:lang w:val="en-US" w:eastAsia="zh-CN"/>
        </w:rPr>
      </w:pPr>
      <w:r>
        <w:rPr>
          <w:rFonts w:hint="eastAsia" w:ascii="黑体" w:hAnsi="黑体" w:eastAsia="黑体"/>
          <w:color w:val="auto"/>
          <w:szCs w:val="22"/>
          <w:highlight w:val="none"/>
          <w:lang w:val="en-US" w:eastAsia="zh-CN"/>
        </w:rPr>
        <w:t>与国际、国外同类标准技术内容的对比情况，或者与测试的国外样品、样机的有关数据对比情况</w:t>
      </w:r>
      <w:r>
        <w:rPr>
          <w:rFonts w:hint="default" w:ascii="黑体" w:hAnsi="黑体" w:eastAsia="黑体"/>
          <w:color w:val="auto"/>
          <w:szCs w:val="22"/>
          <w:highlight w:val="none"/>
          <w:lang w:val="en-US" w:eastAsia="zh-CN"/>
        </w:rPr>
        <w:t>；</w:t>
      </w:r>
    </w:p>
    <w:p w14:paraId="7C050C5B">
      <w:pPr>
        <w:spacing w:line="24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本文件修改采用ISO 11608-4:2022《医用针式注射系统 要求和试验方法 第4部分：电子和机电笔式注射器》</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本文件</w:t>
      </w:r>
      <w:r>
        <w:rPr>
          <w:rFonts w:hint="eastAsia" w:ascii="宋体" w:hAnsi="宋体" w:eastAsia="宋体" w:cs="宋体"/>
          <w:color w:val="auto"/>
          <w:highlight w:val="none"/>
        </w:rPr>
        <w:t>与ISO 11608-4:2022技术差异及其原因如下：</w:t>
      </w:r>
    </w:p>
    <w:p w14:paraId="6E4379EA">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 2423.56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 xml:space="preserve">2023 </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60068-2-64:2019</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18D47232">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 xml:space="preserve">GB/T 4208 </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60529</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385E0917">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 4798.7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2007</w:t>
      </w:r>
      <w:r>
        <w:rPr>
          <w:rFonts w:hint="eastAsia" w:ascii="宋体" w:hAnsi="宋体" w:eastAsia="宋体" w:cs="宋体"/>
          <w:color w:val="auto"/>
          <w:highlight w:val="none"/>
          <w:lang w:val="en-US" w:eastAsia="zh-CN"/>
        </w:rPr>
        <w:t>替换了IEC 60721-3-7:1995+AMD1:1996</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79800EEC">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 4824</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CISPR 11</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761E34DB">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4943.1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2022</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62368-1</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68251607">
      <w:pPr>
        <w:spacing w:line="24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 xml:space="preserve">GB 8897.4 </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60086-4</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23CF81A3">
      <w:pPr>
        <w:spacing w:line="24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9254.1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 xml:space="preserve">2021 </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CISPR 32</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00D2D698">
      <w:pPr>
        <w:spacing w:line="24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 9706.1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2020</w:t>
      </w:r>
      <w:r>
        <w:rPr>
          <w:rFonts w:hint="eastAsia" w:ascii="宋体" w:hAnsi="宋体" w:eastAsia="宋体" w:cs="宋体"/>
          <w:color w:val="auto"/>
          <w:highlight w:val="none"/>
          <w:lang w:val="en-US" w:eastAsia="zh-CN"/>
        </w:rPr>
        <w:t>替换了IEC 60601-1:2005+AMD1:2012+AMD2:2020</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7CA42C12">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 17625.1</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61000-3-</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:200</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5700C623">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 17625.2</w:t>
      </w:r>
      <w:r>
        <w:rPr>
          <w:rFonts w:hint="eastAsia" w:ascii="宋体" w:hAnsi="宋体" w:eastAsia="宋体" w:cs="宋体"/>
          <w:color w:val="auto"/>
          <w:highlight w:val="none"/>
          <w:lang w:val="en-US" w:eastAsia="zh-CN"/>
        </w:rPr>
        <w:t xml:space="preserve"> 替换了</w:t>
      </w:r>
      <w:r>
        <w:rPr>
          <w:rFonts w:hint="eastAsia" w:ascii="宋体" w:hAnsi="宋体" w:eastAsia="宋体" w:cs="宋体"/>
          <w:color w:val="auto"/>
          <w:highlight w:val="none"/>
        </w:rPr>
        <w:t>IEC 61000-3-3</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1B3DEDD0">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 17626.2</w:t>
      </w:r>
      <w:r>
        <w:rPr>
          <w:rFonts w:hint="eastAsia" w:ascii="宋体" w:hAnsi="宋体" w:eastAsia="宋体" w:cs="宋体"/>
          <w:color w:val="auto"/>
          <w:highlight w:val="none"/>
          <w:lang w:val="en-US" w:eastAsia="zh-CN"/>
        </w:rPr>
        <w:t xml:space="preserve"> 替换了IEC 61000-4-2:2008</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53225BF7">
      <w:pPr>
        <w:spacing w:line="24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 17626.3</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61000-4-3</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130ECB72">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17626.4</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61000-4-4</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7983A92B">
      <w:pPr>
        <w:spacing w:line="24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 17626.5</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61000-4-5</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1D5F7969">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 17626.6</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61000-4-6</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48472067">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 17626.8</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61000-4-8</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77998881">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17626.11 </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61000-4-11</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073ADF12">
      <w:pPr>
        <w:spacing w:line="24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17626.39</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61000-4-39</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4BE0D020">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 28164.2</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62133-2:2017</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3F7DA2E3">
      <w:pPr>
        <w:spacing w:line="24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GB/T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42062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2022</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ISO 14971:2019</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498D1089">
      <w:pPr>
        <w:spacing w:line="24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YY/T 0664</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62304</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33CD1DD0">
      <w:pPr>
        <w:spacing w:line="24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YY/T 1474</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62366</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165CB656">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YY/T 1768.1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 xml:space="preserve">20XX </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ISO 11608-1:2022</w:t>
      </w:r>
      <w:r>
        <w:rPr>
          <w:rFonts w:hint="eastAsia" w:ascii="宋体" w:hAnsi="宋体" w:eastAsia="宋体" w:cs="宋体"/>
          <w:color w:val="auto"/>
          <w:highlight w:val="none"/>
          <w:lang w:val="en-US" w:eastAsia="zh-CN"/>
        </w:rPr>
        <w:t>以适应我国技术条件；</w:t>
      </w:r>
    </w:p>
    <w:p w14:paraId="7A058986">
      <w:pPr>
        <w:spacing w:line="24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YY 9706.102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2021</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60601-1-2:2007</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以适应我国技术条件；</w:t>
      </w:r>
    </w:p>
    <w:p w14:paraId="3A0915D0">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用规范性引用的</w:t>
      </w:r>
      <w:r>
        <w:rPr>
          <w:rFonts w:hint="eastAsia" w:ascii="宋体" w:hAnsi="宋体" w:eastAsia="宋体" w:cs="宋体"/>
          <w:color w:val="auto"/>
          <w:highlight w:val="none"/>
        </w:rPr>
        <w:t>YY 9706.111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2021</w:t>
      </w:r>
      <w:r>
        <w:rPr>
          <w:rFonts w:hint="eastAsia" w:ascii="宋体" w:hAnsi="宋体" w:eastAsia="宋体" w:cs="宋体"/>
          <w:color w:val="auto"/>
          <w:highlight w:val="none"/>
          <w:lang w:val="en-US" w:eastAsia="zh-CN"/>
        </w:rPr>
        <w:t>替换了</w:t>
      </w:r>
      <w:r>
        <w:rPr>
          <w:rFonts w:hint="eastAsia" w:ascii="宋体" w:hAnsi="宋体" w:eastAsia="宋体" w:cs="宋体"/>
          <w:color w:val="auto"/>
          <w:highlight w:val="none"/>
        </w:rPr>
        <w:t>IEC 60601-1-11:2015</w:t>
      </w:r>
      <w:r>
        <w:rPr>
          <w:rFonts w:hint="eastAsia" w:ascii="宋体" w:hAnsi="宋体" w:eastAsia="宋体" w:cs="宋体"/>
          <w:color w:val="auto"/>
          <w:highlight w:val="none"/>
          <w:lang w:val="en-US" w:eastAsia="zh-CN"/>
        </w:rPr>
        <w:t>以适应我国技术条件。</w:t>
      </w:r>
    </w:p>
    <w:p w14:paraId="036DF667">
      <w:pPr>
        <w:spacing w:line="240" w:lineRule="auto"/>
        <w:ind w:firstLine="42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本文件做了下列编辑性改动：</w:t>
      </w:r>
    </w:p>
    <w:p w14:paraId="2FC79A32">
      <w:pPr>
        <w:spacing w:line="24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删除了资料性附录B。</w:t>
      </w:r>
    </w:p>
    <w:p w14:paraId="3231A73E">
      <w:pPr>
        <w:numPr>
          <w:ilvl w:val="0"/>
          <w:numId w:val="0"/>
        </w:numPr>
        <w:spacing w:before="156" w:beforeLines="50" w:after="156" w:afterLines="50"/>
        <w:rPr>
          <w:rFonts w:hint="default" w:ascii="黑体" w:hAnsi="黑体" w:eastAsia="黑体"/>
          <w:color w:val="auto"/>
          <w:szCs w:val="22"/>
          <w:highlight w:val="none"/>
          <w:lang w:val="en-US" w:eastAsia="zh-CN"/>
        </w:rPr>
      </w:pPr>
      <w:r>
        <w:rPr>
          <w:rFonts w:hint="eastAsia" w:ascii="黑体" w:hAnsi="黑体" w:eastAsia="黑体"/>
          <w:color w:val="auto"/>
          <w:szCs w:val="22"/>
          <w:highlight w:val="none"/>
          <w:lang w:val="en-US" w:eastAsia="zh-CN"/>
        </w:rPr>
        <w:t>五、与有关的现行法律、法规和强制性标准的关系</w:t>
      </w:r>
    </w:p>
    <w:p w14:paraId="2165899F">
      <w:pPr>
        <w:ind w:firstLine="420" w:firstLineChars="200"/>
        <w:rPr>
          <w:rFonts w:hint="eastAsia" w:ascii="宋体" w:hAnsi="宋体" w:eastAsia="宋体" w:cs="宋体"/>
          <w:color w:val="auto"/>
          <w:szCs w:val="22"/>
          <w:highlight w:val="none"/>
          <w:lang w:val="en-US" w:eastAsia="zh-CN"/>
        </w:rPr>
      </w:pPr>
      <w:r>
        <w:rPr>
          <w:rFonts w:hint="eastAsia" w:ascii="宋体" w:hAnsi="Times New Roman" w:eastAsia="宋体" w:cs="宋体"/>
          <w:color w:val="auto"/>
          <w:szCs w:val="21"/>
          <w:highlight w:val="none"/>
        </w:rPr>
        <w:t>本标准与现行的法</w:t>
      </w:r>
      <w:r>
        <w:rPr>
          <w:rFonts w:hint="eastAsia" w:ascii="宋体" w:hAnsi="Times New Roman" w:eastAsia="宋体" w:cs="宋体"/>
          <w:color w:val="auto"/>
          <w:szCs w:val="21"/>
          <w:highlight w:val="none"/>
          <w:lang w:eastAsia="zh-CN"/>
        </w:rPr>
        <w:t>律法规</w:t>
      </w:r>
      <w:r>
        <w:rPr>
          <w:rFonts w:hint="eastAsia" w:ascii="宋体" w:hAnsi="Times New Roman" w:eastAsia="宋体" w:cs="宋体"/>
          <w:color w:val="auto"/>
          <w:szCs w:val="21"/>
          <w:highlight w:val="none"/>
        </w:rPr>
        <w:t>，强制性国家标准，行业标准没有冲突。</w:t>
      </w:r>
      <w:r>
        <w:rPr>
          <w:rFonts w:hint="eastAsia" w:ascii="宋体" w:hAnsi="Times New Roman" w:eastAsia="宋体" w:cs="宋体"/>
          <w:color w:val="auto"/>
          <w:szCs w:val="21"/>
          <w:highlight w:val="none"/>
          <w:lang w:val="en-US" w:eastAsia="zh-CN"/>
        </w:rPr>
        <w:t xml:space="preserve"> </w:t>
      </w:r>
    </w:p>
    <w:p w14:paraId="0EC65EDB">
      <w:pPr>
        <w:numPr>
          <w:ilvl w:val="0"/>
          <w:numId w:val="0"/>
        </w:numPr>
        <w:spacing w:before="156" w:beforeLines="50" w:after="156" w:afterLines="50"/>
        <w:rPr>
          <w:rFonts w:hint="default" w:ascii="黑体" w:hAnsi="黑体" w:eastAsia="黑体"/>
          <w:color w:val="auto"/>
          <w:szCs w:val="22"/>
          <w:highlight w:val="none"/>
          <w:lang w:val="en-US" w:eastAsia="zh-CN"/>
        </w:rPr>
      </w:pPr>
      <w:r>
        <w:rPr>
          <w:rFonts w:hint="eastAsia" w:ascii="黑体" w:hAnsi="黑体" w:eastAsia="黑体"/>
          <w:color w:val="auto"/>
          <w:szCs w:val="22"/>
          <w:highlight w:val="none"/>
          <w:lang w:val="en-US" w:eastAsia="zh-CN"/>
        </w:rPr>
        <w:t>六、</w:t>
      </w:r>
      <w:r>
        <w:rPr>
          <w:rFonts w:hint="default" w:ascii="黑体" w:hAnsi="黑体" w:eastAsia="黑体"/>
          <w:color w:val="auto"/>
          <w:szCs w:val="22"/>
          <w:highlight w:val="none"/>
          <w:lang w:val="en-US" w:eastAsia="zh-CN"/>
        </w:rPr>
        <w:t>重大分歧意见的处理过程、处理意见及其依据；</w:t>
      </w:r>
    </w:p>
    <w:p w14:paraId="00FEC414">
      <w:pPr>
        <w:ind w:firstLine="420" w:firstLineChars="200"/>
        <w:rPr>
          <w:rFonts w:hint="eastAsia" w:ascii="宋体" w:hAnsi="Times New Roman" w:eastAsia="宋体" w:cs="宋体"/>
          <w:color w:val="auto"/>
          <w:szCs w:val="21"/>
          <w:highlight w:val="none"/>
          <w:lang w:val="en-US" w:eastAsia="zh-CN"/>
        </w:rPr>
      </w:pPr>
      <w:r>
        <w:rPr>
          <w:rFonts w:hint="eastAsia" w:ascii="宋体" w:hAnsi="Times New Roman" w:eastAsia="宋体" w:cs="宋体"/>
          <w:color w:val="auto"/>
          <w:szCs w:val="21"/>
          <w:highlight w:val="none"/>
        </w:rPr>
        <w:t>无重大分歧意见。</w:t>
      </w:r>
      <w:r>
        <w:rPr>
          <w:rFonts w:hint="eastAsia" w:ascii="宋体" w:hAnsi="Times New Roman" w:eastAsia="宋体" w:cs="宋体"/>
          <w:color w:val="auto"/>
          <w:szCs w:val="21"/>
          <w:highlight w:val="none"/>
          <w:lang w:val="en-US" w:eastAsia="zh-CN"/>
        </w:rPr>
        <w:t xml:space="preserve"> </w:t>
      </w:r>
    </w:p>
    <w:p w14:paraId="2F9E5118">
      <w:pPr>
        <w:numPr>
          <w:ilvl w:val="0"/>
          <w:numId w:val="5"/>
        </w:numPr>
        <w:spacing w:before="156" w:beforeLines="50" w:after="156" w:afterLines="50"/>
        <w:rPr>
          <w:rFonts w:hint="eastAsia" w:ascii="黑体" w:hAnsi="黑体" w:eastAsia="黑体"/>
          <w:color w:val="auto"/>
          <w:szCs w:val="22"/>
          <w:highlight w:val="none"/>
          <w:lang w:val="en-US" w:eastAsia="zh-CN"/>
        </w:rPr>
      </w:pPr>
      <w:r>
        <w:rPr>
          <w:rFonts w:hint="eastAsia" w:ascii="黑体" w:hAnsi="黑体" w:eastAsia="黑体"/>
          <w:color w:val="auto"/>
          <w:szCs w:val="22"/>
          <w:highlight w:val="none"/>
          <w:lang w:val="en-US" w:eastAsia="zh-CN"/>
        </w:rPr>
        <w:t>作为强制性标准或推荐性标准的建议</w:t>
      </w:r>
    </w:p>
    <w:p w14:paraId="42A41C87">
      <w:pPr>
        <w:keepNext w:val="0"/>
        <w:keepLines w:val="0"/>
        <w:widowControl/>
        <w:suppressLineNumbers w:val="0"/>
        <w:ind w:firstLine="420" w:firstLineChars="200"/>
        <w:jc w:val="left"/>
        <w:textAlignment w:val="center"/>
        <w:rPr>
          <w:rFonts w:hint="default" w:ascii="宋体" w:hAnsi="宋体" w:eastAsia="宋体" w:cs="宋体"/>
          <w:color w:val="auto"/>
          <w:highlight w:val="none"/>
          <w:lang w:val="en-US" w:eastAsia="zh-CN"/>
        </w:rPr>
      </w:pPr>
      <w:r>
        <w:rPr>
          <w:rFonts w:hint="eastAsia" w:eastAsia="宋体"/>
          <w:color w:val="auto"/>
          <w:szCs w:val="21"/>
          <w:highlight w:val="none"/>
          <w:lang w:val="en-US" w:eastAsia="zh-CN"/>
        </w:rPr>
        <w:t>本标准</w:t>
      </w:r>
      <w:r>
        <w:rPr>
          <w:rFonts w:hint="eastAsia" w:eastAsia="宋体"/>
          <w:color w:val="auto"/>
          <w:szCs w:val="21"/>
          <w:highlight w:val="none"/>
        </w:rPr>
        <w:t>为产品标准，随着我国新标准化法的发布实施，为适应推动产业发展、鼓励产品创新等国家政策的推进，建议</w:t>
      </w:r>
      <w:r>
        <w:rPr>
          <w:rFonts w:hint="eastAsia" w:eastAsia="宋体"/>
          <w:color w:val="auto"/>
          <w:szCs w:val="21"/>
          <w:highlight w:val="none"/>
          <w:lang w:val="en-US" w:eastAsia="zh-CN"/>
        </w:rPr>
        <w:t>继续作为</w:t>
      </w:r>
      <w:r>
        <w:rPr>
          <w:rFonts w:hint="eastAsia" w:eastAsia="宋体"/>
          <w:color w:val="auto"/>
          <w:szCs w:val="21"/>
          <w:highlight w:val="none"/>
        </w:rPr>
        <w:t>推荐性标准发布。</w:t>
      </w:r>
    </w:p>
    <w:p w14:paraId="3BBD75AE">
      <w:pPr>
        <w:numPr>
          <w:ilvl w:val="0"/>
          <w:numId w:val="5"/>
        </w:numPr>
        <w:spacing w:before="156" w:beforeLines="50" w:after="156" w:afterLines="50"/>
        <w:ind w:left="0" w:leftChars="0" w:firstLine="0" w:firstLineChars="0"/>
        <w:rPr>
          <w:rFonts w:hint="eastAsia" w:ascii="黑体" w:hAnsi="黑体" w:eastAsia="黑体"/>
          <w:color w:val="auto"/>
          <w:szCs w:val="22"/>
          <w:highlight w:val="none"/>
          <w:lang w:val="en-US" w:eastAsia="zh-CN"/>
        </w:rPr>
      </w:pPr>
      <w:r>
        <w:rPr>
          <w:rFonts w:hint="eastAsia" w:ascii="黑体" w:hAnsi="黑体" w:eastAsia="黑体"/>
          <w:color w:val="auto"/>
          <w:szCs w:val="22"/>
          <w:highlight w:val="none"/>
          <w:lang w:val="en-US" w:eastAsia="zh-CN"/>
        </w:rPr>
        <w:t>贯彻标准的要求和措施建议</w:t>
      </w:r>
    </w:p>
    <w:p w14:paraId="20409B78">
      <w:pPr>
        <w:widowControl/>
        <w:adjustRightInd w:val="0"/>
        <w:snapToGrid w:val="0"/>
        <w:spacing w:line="360" w:lineRule="auto"/>
        <w:ind w:firstLine="525" w:firstLineChars="250"/>
        <w:jc w:val="left"/>
        <w:rPr>
          <w:rFonts w:hint="eastAsia"/>
          <w:color w:val="auto"/>
          <w:kern w:val="0"/>
          <w:sz w:val="21"/>
          <w:szCs w:val="21"/>
          <w:highlight w:val="none"/>
        </w:rPr>
      </w:pPr>
      <w:r>
        <w:rPr>
          <w:color w:val="auto"/>
          <w:kern w:val="0"/>
          <w:sz w:val="21"/>
          <w:szCs w:val="21"/>
          <w:highlight w:val="none"/>
        </w:rPr>
        <w:t>建议</w:t>
      </w:r>
      <w:r>
        <w:rPr>
          <w:rFonts w:hint="eastAsia"/>
          <w:color w:val="auto"/>
          <w:kern w:val="0"/>
          <w:sz w:val="21"/>
          <w:szCs w:val="21"/>
          <w:highlight w:val="none"/>
        </w:rPr>
        <w:t>标准</w:t>
      </w:r>
      <w:r>
        <w:rPr>
          <w:rFonts w:hint="eastAsia"/>
          <w:color w:val="auto"/>
          <w:kern w:val="0"/>
          <w:sz w:val="21"/>
          <w:szCs w:val="21"/>
          <w:highlight w:val="none"/>
          <w:lang w:val="en-US" w:eastAsia="zh-CN"/>
        </w:rPr>
        <w:t>发布后</w:t>
      </w:r>
      <w:r>
        <w:rPr>
          <w:rFonts w:hint="eastAsia"/>
          <w:b/>
          <w:bCs/>
          <w:color w:val="auto"/>
          <w:kern w:val="0"/>
          <w:sz w:val="21"/>
          <w:szCs w:val="21"/>
          <w:highlight w:val="none"/>
          <w:lang w:val="en-US" w:eastAsia="zh-CN"/>
        </w:rPr>
        <w:t>12个月</w:t>
      </w:r>
      <w:r>
        <w:rPr>
          <w:rFonts w:hint="eastAsia"/>
          <w:color w:val="auto"/>
          <w:kern w:val="0"/>
          <w:sz w:val="21"/>
          <w:szCs w:val="21"/>
          <w:highlight w:val="none"/>
          <w:lang w:val="en-US" w:eastAsia="zh-CN"/>
        </w:rPr>
        <w:t>实施</w:t>
      </w:r>
      <w:r>
        <w:rPr>
          <w:rFonts w:hint="eastAsia"/>
          <w:color w:val="auto"/>
          <w:kern w:val="0"/>
          <w:sz w:val="21"/>
          <w:szCs w:val="21"/>
          <w:highlight w:val="none"/>
          <w:lang w:eastAsia="zh-CN"/>
        </w:rPr>
        <w:t>。</w:t>
      </w:r>
      <w:r>
        <w:rPr>
          <w:rFonts w:hint="eastAsia"/>
          <w:color w:val="auto"/>
          <w:kern w:val="0"/>
          <w:sz w:val="21"/>
          <w:szCs w:val="21"/>
          <w:highlight w:val="none"/>
        </w:rPr>
        <w:t>标准发布后，归口单位将在标准实施日期前召开标准宣贯会等形式对该标准的技术内容进行宣贯。通过这些措施，该标准在发布之日后12个月的过渡期内，足以完成其贯彻和实施。</w:t>
      </w:r>
    </w:p>
    <w:p w14:paraId="2B833C29">
      <w:pPr>
        <w:numPr>
          <w:ilvl w:val="0"/>
          <w:numId w:val="5"/>
        </w:numPr>
        <w:spacing w:before="156" w:beforeLines="50" w:after="156" w:afterLines="50"/>
        <w:ind w:left="0" w:leftChars="0" w:firstLine="0" w:firstLineChars="0"/>
        <w:rPr>
          <w:rFonts w:hint="eastAsia" w:ascii="黑体" w:hAnsi="黑体" w:eastAsia="黑体" w:cstheme="minorBidi"/>
          <w:color w:val="auto"/>
          <w:kern w:val="2"/>
          <w:sz w:val="21"/>
          <w:szCs w:val="22"/>
          <w:highlight w:val="none"/>
          <w:lang w:val="en-US" w:eastAsia="zh-CN" w:bidi="ar-SA"/>
        </w:rPr>
      </w:pPr>
      <w:r>
        <w:rPr>
          <w:rFonts w:hint="eastAsia" w:ascii="黑体" w:hAnsi="黑体" w:eastAsia="黑体" w:cstheme="minorBidi"/>
          <w:color w:val="auto"/>
          <w:kern w:val="2"/>
          <w:sz w:val="21"/>
          <w:szCs w:val="22"/>
          <w:highlight w:val="none"/>
          <w:lang w:val="en-US" w:eastAsia="zh-CN" w:bidi="ar-SA"/>
        </w:rPr>
        <w:t>废止现行有关标准的建议</w:t>
      </w:r>
    </w:p>
    <w:p w14:paraId="2CB2937C">
      <w:pPr>
        <w:widowControl/>
        <w:adjustRightInd w:val="0"/>
        <w:snapToGrid w:val="0"/>
        <w:spacing w:line="360" w:lineRule="auto"/>
        <w:ind w:firstLine="525" w:firstLineChars="250"/>
        <w:jc w:val="left"/>
        <w:rPr>
          <w:rFonts w:hint="default"/>
          <w:color w:val="auto"/>
          <w:kern w:val="0"/>
          <w:sz w:val="21"/>
          <w:szCs w:val="21"/>
          <w:highlight w:val="none"/>
          <w:lang w:val="en-US" w:eastAsia="zh-CN"/>
        </w:rPr>
      </w:pPr>
      <w:r>
        <w:rPr>
          <w:rFonts w:hint="eastAsia"/>
          <w:color w:val="auto"/>
          <w:kern w:val="0"/>
          <w:sz w:val="21"/>
          <w:szCs w:val="21"/>
          <w:highlight w:val="none"/>
          <w:lang w:val="en-US" w:eastAsia="zh-CN"/>
        </w:rPr>
        <w:t>本标准为首次制定标准。</w:t>
      </w:r>
    </w:p>
    <w:p w14:paraId="624CB55B">
      <w:pPr>
        <w:numPr>
          <w:ilvl w:val="0"/>
          <w:numId w:val="0"/>
        </w:numPr>
        <w:spacing w:before="156" w:beforeLines="50" w:after="156" w:afterLines="50"/>
        <w:rPr>
          <w:rFonts w:hint="default" w:ascii="黑体" w:hAnsi="黑体" w:eastAsia="黑体"/>
          <w:color w:val="auto"/>
          <w:szCs w:val="22"/>
          <w:highlight w:val="none"/>
          <w:lang w:val="en-US" w:eastAsia="zh-CN"/>
        </w:rPr>
      </w:pPr>
      <w:r>
        <w:rPr>
          <w:rFonts w:hint="eastAsia" w:ascii="黑体" w:hAnsi="黑体" w:eastAsia="黑体" w:cstheme="minorBidi"/>
          <w:color w:val="auto"/>
          <w:kern w:val="2"/>
          <w:sz w:val="21"/>
          <w:szCs w:val="22"/>
          <w:highlight w:val="none"/>
          <w:lang w:val="en-US" w:eastAsia="zh-CN" w:bidi="ar-SA"/>
        </w:rPr>
        <w:t>十、</w:t>
      </w:r>
      <w:r>
        <w:rPr>
          <w:rFonts w:hint="default" w:ascii="黑体" w:hAnsi="黑体" w:eastAsia="黑体"/>
          <w:color w:val="auto"/>
          <w:szCs w:val="22"/>
          <w:highlight w:val="none"/>
          <w:lang w:val="en-US" w:eastAsia="zh-CN"/>
        </w:rPr>
        <w:t>标准所涉及的产品、过程或者服务目录</w:t>
      </w:r>
    </w:p>
    <w:p w14:paraId="10BA5CFA">
      <w:pPr>
        <w:widowControl/>
        <w:adjustRightInd w:val="0"/>
        <w:snapToGrid w:val="0"/>
        <w:spacing w:line="360" w:lineRule="auto"/>
        <w:ind w:firstLine="525" w:firstLineChars="250"/>
        <w:jc w:val="left"/>
        <w:rPr>
          <w:rFonts w:hint="default"/>
          <w:color w:val="auto"/>
          <w:kern w:val="0"/>
          <w:sz w:val="21"/>
          <w:szCs w:val="21"/>
          <w:highlight w:val="none"/>
          <w:lang w:val="en-US" w:eastAsia="zh-CN"/>
        </w:rPr>
      </w:pPr>
      <w:r>
        <w:rPr>
          <w:rFonts w:hint="eastAsia"/>
          <w:color w:val="auto"/>
          <w:kern w:val="0"/>
          <w:sz w:val="21"/>
          <w:szCs w:val="21"/>
          <w:highlight w:val="none"/>
          <w:lang w:val="en-US" w:eastAsia="zh-CN"/>
        </w:rPr>
        <w:t>本标准涉及的产品为电子笔式注射器等</w:t>
      </w:r>
    </w:p>
    <w:p w14:paraId="0615823A">
      <w:pPr>
        <w:numPr>
          <w:ilvl w:val="0"/>
          <w:numId w:val="0"/>
        </w:numPr>
        <w:spacing w:before="156" w:beforeLines="50" w:after="156" w:afterLines="50"/>
        <w:rPr>
          <w:rFonts w:hint="default" w:ascii="黑体" w:hAnsi="黑体" w:eastAsia="黑体"/>
          <w:color w:val="auto"/>
          <w:szCs w:val="22"/>
          <w:highlight w:val="none"/>
          <w:lang w:val="en-US" w:eastAsia="zh-CN"/>
        </w:rPr>
      </w:pPr>
      <w:r>
        <w:rPr>
          <w:rFonts w:hint="eastAsia" w:ascii="黑体" w:hAnsi="黑体" w:eastAsia="黑体" w:cstheme="minorBidi"/>
          <w:color w:val="auto"/>
          <w:kern w:val="2"/>
          <w:sz w:val="21"/>
          <w:szCs w:val="22"/>
          <w:highlight w:val="none"/>
          <w:lang w:val="en-US" w:eastAsia="zh-CN" w:bidi="ar-SA"/>
        </w:rPr>
        <w:t>十一、</w:t>
      </w:r>
      <w:r>
        <w:rPr>
          <w:rFonts w:hint="default" w:ascii="黑体" w:hAnsi="黑体" w:eastAsia="黑体"/>
          <w:color w:val="auto"/>
          <w:szCs w:val="22"/>
          <w:highlight w:val="none"/>
          <w:lang w:val="en-US" w:eastAsia="zh-CN"/>
        </w:rPr>
        <w:t>其他应当说明的事项。</w:t>
      </w:r>
    </w:p>
    <w:p w14:paraId="62064730">
      <w:pPr>
        <w:numPr>
          <w:ilvl w:val="0"/>
          <w:numId w:val="0"/>
        </w:numPr>
        <w:ind w:leftChars="200" w:firstLine="420" w:firstLineChars="200"/>
        <w:rPr>
          <w:rFonts w:ascii="宋体" w:hAnsi="Times New Roman" w:cs="宋体"/>
          <w:color w:val="auto"/>
          <w:szCs w:val="21"/>
          <w:highlight w:val="none"/>
        </w:rPr>
      </w:pPr>
      <w:r>
        <w:rPr>
          <w:rFonts w:hint="eastAsia" w:ascii="宋体" w:hAnsi="Times New Roman" w:cs="宋体"/>
          <w:color w:val="auto"/>
          <w:szCs w:val="21"/>
          <w:highlight w:val="none"/>
          <w:lang w:val="en-US" w:eastAsia="zh-CN"/>
        </w:rPr>
        <w:t>经初步核对，</w:t>
      </w:r>
      <w:r>
        <w:rPr>
          <w:rFonts w:hint="eastAsia" w:ascii="宋体" w:hAnsi="Times New Roman" w:cs="宋体"/>
          <w:color w:val="auto"/>
          <w:szCs w:val="21"/>
          <w:highlight w:val="none"/>
        </w:rPr>
        <w:t>本标准无限制或者变相限制市场准入和退出、无限制或者变相限制商品要素自由流动、无影响经营者生产经营成本、无影响经营者生产经营行为，且不适用于《公平竞争审</w:t>
      </w:r>
      <w:r>
        <w:rPr>
          <w:rFonts w:hint="eastAsia" w:ascii="宋体" w:hAnsi="Times New Roman" w:cs="宋体"/>
          <w:color w:val="auto"/>
          <w:szCs w:val="21"/>
          <w:highlight w:val="none"/>
          <w:lang w:eastAsia="zh-CN"/>
        </w:rPr>
        <w:t>查</w:t>
      </w:r>
      <w:r>
        <w:rPr>
          <w:rFonts w:hint="eastAsia" w:ascii="宋体" w:hAnsi="Times New Roman" w:cs="宋体"/>
          <w:color w:val="auto"/>
          <w:szCs w:val="21"/>
          <w:highlight w:val="none"/>
        </w:rPr>
        <w:t>条例》第十二条的规定。</w:t>
      </w:r>
    </w:p>
    <w:p w14:paraId="4BCCCF95">
      <w:pPr>
        <w:numPr>
          <w:ilvl w:val="0"/>
          <w:numId w:val="0"/>
        </w:numPr>
        <w:ind w:leftChars="200"/>
        <w:rPr>
          <w:rFonts w:ascii="宋体" w:hAnsi="Times New Roman" w:cs="宋体"/>
          <w:color w:val="auto"/>
          <w:szCs w:val="21"/>
          <w:highlight w:val="none"/>
        </w:rPr>
      </w:pPr>
    </w:p>
    <w:p w14:paraId="77867229">
      <w:pPr>
        <w:numPr>
          <w:ilvl w:val="0"/>
          <w:numId w:val="0"/>
        </w:numPr>
        <w:ind w:leftChars="200"/>
        <w:rPr>
          <w:rFonts w:ascii="宋体" w:hAnsi="Times New Roman" w:cs="宋体"/>
          <w:color w:val="auto"/>
          <w:szCs w:val="21"/>
          <w:highlight w:val="none"/>
        </w:rPr>
      </w:pPr>
    </w:p>
    <w:p w14:paraId="077DDF2D">
      <w:pPr>
        <w:ind w:firstLine="420" w:firstLineChars="200"/>
        <w:jc w:val="right"/>
        <w:rPr>
          <w:rFonts w:hint="default" w:ascii="宋体" w:hAnsi="Times New Roman" w:eastAsia="宋体" w:cs="宋体"/>
          <w:color w:val="auto"/>
          <w:szCs w:val="21"/>
          <w:highlight w:val="none"/>
          <w:lang w:val="en-US" w:eastAsia="zh-CN"/>
        </w:rPr>
      </w:pPr>
      <w:r>
        <w:rPr>
          <w:rFonts w:hint="eastAsia" w:eastAsia="宋体"/>
          <w:bCs/>
          <w:color w:val="auto"/>
          <w:highlight w:val="none"/>
          <w:lang w:val="en-US" w:eastAsia="zh-CN"/>
        </w:rPr>
        <w:t>标准起草工作组</w:t>
      </w:r>
    </w:p>
    <w:p w14:paraId="410D3D45">
      <w:pPr>
        <w:ind w:firstLine="420" w:firstLineChars="200"/>
        <w:jc w:val="center"/>
        <w:rPr>
          <w:rFonts w:hint="default" w:eastAsia="宋体"/>
          <w:color w:val="auto"/>
          <w:highlight w:val="none"/>
          <w:lang w:val="en-US" w:eastAsia="zh-CN"/>
        </w:rPr>
      </w:pPr>
      <w:r>
        <w:rPr>
          <w:rFonts w:hint="eastAsia" w:ascii="宋体" w:hAnsi="Times New Roman" w:eastAsia="宋体" w:cs="宋体"/>
          <w:color w:val="auto"/>
          <w:szCs w:val="21"/>
          <w:highlight w:val="none"/>
          <w:lang w:val="en-US" w:eastAsia="zh-CN"/>
        </w:rPr>
        <w:t xml:space="preserve">                                                              </w:t>
      </w:r>
      <w:r>
        <w:rPr>
          <w:rFonts w:hint="eastAsia" w:ascii="Times New Roman" w:hAnsi="Times New Roman" w:eastAsia="宋体" w:cs="Times New Roman"/>
          <w:color w:val="auto"/>
          <w:kern w:val="0"/>
          <w:sz w:val="21"/>
          <w:szCs w:val="21"/>
          <w:highlight w:val="none"/>
          <w:lang w:val="en-US" w:eastAsia="zh-CN"/>
        </w:rPr>
        <w:t>2026.7.6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0D7B1"/>
    <w:multiLevelType w:val="singleLevel"/>
    <w:tmpl w:val="8450D7B1"/>
    <w:lvl w:ilvl="0" w:tentative="0">
      <w:start w:val="7"/>
      <w:numFmt w:val="chineseCounting"/>
      <w:suff w:val="nothing"/>
      <w:lvlText w:val="%1、"/>
      <w:lvlJc w:val="left"/>
      <w:rPr>
        <w:rFonts w:hint="eastAsia"/>
      </w:rPr>
    </w:lvl>
  </w:abstractNum>
  <w:abstractNum w:abstractNumId="1">
    <w:nsid w:val="C17D54C5"/>
    <w:multiLevelType w:val="singleLevel"/>
    <w:tmpl w:val="C17D54C5"/>
    <w:lvl w:ilvl="0" w:tentative="0">
      <w:start w:val="4"/>
      <w:numFmt w:val="chineseCounting"/>
      <w:suff w:val="nothing"/>
      <w:lvlText w:val="%1、"/>
      <w:lvlJc w:val="left"/>
      <w:rPr>
        <w:rFonts w:hint="eastAsia"/>
      </w:rPr>
    </w:lvl>
  </w:abstractNum>
  <w:abstractNum w:abstractNumId="2">
    <w:nsid w:val="CF99D010"/>
    <w:multiLevelType w:val="singleLevel"/>
    <w:tmpl w:val="CF99D010"/>
    <w:lvl w:ilvl="0" w:tentative="0">
      <w:start w:val="3"/>
      <w:numFmt w:val="chineseCounting"/>
      <w:suff w:val="nothing"/>
      <w:lvlText w:val="%1、"/>
      <w:lvlJc w:val="left"/>
      <w:rPr>
        <w:rFonts w:hint="eastAsia"/>
      </w:rPr>
    </w:lvl>
  </w:abstractNum>
  <w:abstractNum w:abstractNumId="3">
    <w:nsid w:val="04AE7761"/>
    <w:multiLevelType w:val="singleLevel"/>
    <w:tmpl w:val="04AE7761"/>
    <w:lvl w:ilvl="0" w:tentative="0">
      <w:start w:val="3"/>
      <w:numFmt w:val="chineseCounting"/>
      <w:suff w:val="nothing"/>
      <w:lvlText w:val="（%1）"/>
      <w:lvlJc w:val="left"/>
      <w:rPr>
        <w:rFonts w:hint="eastAsia"/>
      </w:rPr>
    </w:lvl>
  </w:abstractNum>
  <w:abstractNum w:abstractNumId="4">
    <w:nsid w:val="2485D5DA"/>
    <w:multiLevelType w:val="singleLevel"/>
    <w:tmpl w:val="2485D5DA"/>
    <w:lvl w:ilvl="0" w:tentative="0">
      <w:start w:val="1"/>
      <w:numFmt w:val="chineseCounting"/>
      <w:suff w:val="nothing"/>
      <w:lvlText w:val="（%1）"/>
      <w:lvlJc w:val="left"/>
      <w:rPr>
        <w:rFonts w:hint="eastAsi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MxMzc2M2JhY2JmMjQyYTIzOTIwM2Y2YjJhN2MyNmYifQ=="/>
  </w:docVars>
  <w:rsids>
    <w:rsidRoot w:val="000060C5"/>
    <w:rsid w:val="000060C5"/>
    <w:rsid w:val="000D7D32"/>
    <w:rsid w:val="001D4DCE"/>
    <w:rsid w:val="00204F9D"/>
    <w:rsid w:val="002E0E15"/>
    <w:rsid w:val="00324ECA"/>
    <w:rsid w:val="003A3488"/>
    <w:rsid w:val="004234B4"/>
    <w:rsid w:val="0045215C"/>
    <w:rsid w:val="005A5F20"/>
    <w:rsid w:val="005D7AB3"/>
    <w:rsid w:val="00616D3A"/>
    <w:rsid w:val="00761C1B"/>
    <w:rsid w:val="007A2694"/>
    <w:rsid w:val="00801D3E"/>
    <w:rsid w:val="0089538C"/>
    <w:rsid w:val="00A71783"/>
    <w:rsid w:val="00C0534D"/>
    <w:rsid w:val="00D10F9D"/>
    <w:rsid w:val="00D46413"/>
    <w:rsid w:val="00DD171E"/>
    <w:rsid w:val="00DE4188"/>
    <w:rsid w:val="00E678D8"/>
    <w:rsid w:val="00EA09E7"/>
    <w:rsid w:val="00F24ED1"/>
    <w:rsid w:val="00F63F44"/>
    <w:rsid w:val="03A91663"/>
    <w:rsid w:val="083E4D1A"/>
    <w:rsid w:val="0BD25EA5"/>
    <w:rsid w:val="0CC7352F"/>
    <w:rsid w:val="0F836046"/>
    <w:rsid w:val="118E286E"/>
    <w:rsid w:val="12771554"/>
    <w:rsid w:val="162D1C19"/>
    <w:rsid w:val="16613346"/>
    <w:rsid w:val="17CF598E"/>
    <w:rsid w:val="17D905BB"/>
    <w:rsid w:val="1EA90CE7"/>
    <w:rsid w:val="211A1DAA"/>
    <w:rsid w:val="227710FC"/>
    <w:rsid w:val="23843AD1"/>
    <w:rsid w:val="2A2E29E8"/>
    <w:rsid w:val="2B145AEF"/>
    <w:rsid w:val="32CE356C"/>
    <w:rsid w:val="360D6F29"/>
    <w:rsid w:val="380D6E6C"/>
    <w:rsid w:val="38123F56"/>
    <w:rsid w:val="3B5E2A01"/>
    <w:rsid w:val="3C3976F6"/>
    <w:rsid w:val="3C465CC9"/>
    <w:rsid w:val="3C9E1EF7"/>
    <w:rsid w:val="3DF17B5D"/>
    <w:rsid w:val="471E595D"/>
    <w:rsid w:val="47413C18"/>
    <w:rsid w:val="485B5A1F"/>
    <w:rsid w:val="4892079E"/>
    <w:rsid w:val="49902451"/>
    <w:rsid w:val="4FB8672C"/>
    <w:rsid w:val="55250C57"/>
    <w:rsid w:val="55760C1C"/>
    <w:rsid w:val="565162B0"/>
    <w:rsid w:val="57122BC6"/>
    <w:rsid w:val="592440BE"/>
    <w:rsid w:val="60134395"/>
    <w:rsid w:val="63402C92"/>
    <w:rsid w:val="64D87772"/>
    <w:rsid w:val="6732696D"/>
    <w:rsid w:val="69175DD6"/>
    <w:rsid w:val="6AF06F34"/>
    <w:rsid w:val="6C054650"/>
    <w:rsid w:val="6CFA1CDB"/>
    <w:rsid w:val="70182BA3"/>
    <w:rsid w:val="70F84783"/>
    <w:rsid w:val="71FC2605"/>
    <w:rsid w:val="726A345E"/>
    <w:rsid w:val="74934A06"/>
    <w:rsid w:val="75A00488"/>
    <w:rsid w:val="7659344C"/>
    <w:rsid w:val="76782226"/>
    <w:rsid w:val="777C6CEF"/>
    <w:rsid w:val="77EA669B"/>
    <w:rsid w:val="792A17C6"/>
    <w:rsid w:val="7F6C2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toc 3"/>
    <w:basedOn w:val="5"/>
    <w:qFormat/>
    <w:uiPriority w:val="39"/>
    <w:pPr>
      <w:ind w:left="100" w:leftChars="100"/>
    </w:pPr>
  </w:style>
  <w:style w:type="paragraph" w:styleId="5">
    <w:name w:val="toc 2"/>
    <w:basedOn w:val="6"/>
    <w:qFormat/>
    <w:uiPriority w:val="39"/>
  </w:style>
  <w:style w:type="paragraph" w:styleId="6">
    <w:name w:val="toc 1"/>
    <w:qFormat/>
    <w:uiPriority w:val="39"/>
    <w:pPr>
      <w:spacing w:before="25" w:beforeLines="25" w:after="25" w:afterLines="25"/>
      <w:jc w:val="both"/>
    </w:pPr>
    <w:rPr>
      <w:rFonts w:ascii="宋体" w:hAnsi="Times New Roman" w:eastAsia="宋体" w:cs="Times New Roman"/>
      <w:sz w:val="21"/>
      <w:lang w:val="en-US" w:eastAsia="zh-CN" w:bidi="ar-SA"/>
    </w:rPr>
  </w:style>
  <w:style w:type="paragraph" w:styleId="7">
    <w:name w:val="Balloon Text"/>
    <w:basedOn w:val="1"/>
    <w:link w:val="16"/>
    <w:semiHidden/>
    <w:unhideWhenUsed/>
    <w:qFormat/>
    <w:uiPriority w:val="99"/>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4"/>
    <w:basedOn w:val="4"/>
    <w:semiHidden/>
    <w:qFormat/>
    <w:uiPriority w:val="0"/>
    <w:pPr>
      <w:ind w:left="200" w:leftChars="200"/>
    </w:p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4">
    <w:name w:val="页眉 字符"/>
    <w:basedOn w:val="13"/>
    <w:link w:val="9"/>
    <w:qFormat/>
    <w:uiPriority w:val="99"/>
    <w:rPr>
      <w:sz w:val="18"/>
      <w:szCs w:val="18"/>
    </w:rPr>
  </w:style>
  <w:style w:type="character" w:customStyle="1" w:styleId="15">
    <w:name w:val="页脚 字符"/>
    <w:basedOn w:val="13"/>
    <w:link w:val="8"/>
    <w:qFormat/>
    <w:uiPriority w:val="99"/>
    <w:rPr>
      <w:sz w:val="18"/>
      <w:szCs w:val="18"/>
    </w:rPr>
  </w:style>
  <w:style w:type="character" w:customStyle="1" w:styleId="16">
    <w:name w:val="批注框文本 字符"/>
    <w:basedOn w:val="13"/>
    <w:link w:val="7"/>
    <w:semiHidden/>
    <w:qFormat/>
    <w:uiPriority w:val="99"/>
    <w:rPr>
      <w:sz w:val="18"/>
      <w:szCs w:val="18"/>
    </w:rPr>
  </w:style>
  <w:style w:type="paragraph" w:styleId="17">
    <w:name w:val="List Paragraph"/>
    <w:basedOn w:val="1"/>
    <w:autoRedefine/>
    <w:qFormat/>
    <w:uiPriority w:val="34"/>
    <w:pPr>
      <w:ind w:firstLine="420" w:firstLineChars="200"/>
    </w:pPr>
  </w:style>
  <w:style w:type="paragraph" w:customStyle="1" w:styleId="18">
    <w:name w:val="段"/>
    <w:autoRedefine/>
    <w:qFormat/>
    <w:uiPriority w:val="0"/>
    <w:pPr>
      <w:tabs>
        <w:tab w:val="center" w:pos="4201"/>
        <w:tab w:val="right" w:leader="dot" w:pos="9298"/>
      </w:tabs>
      <w:ind w:firstLine="360" w:firstLineChars="200"/>
    </w:pPr>
    <w:rPr>
      <w:rFonts w:ascii="宋体" w:hAnsi="Times New Roman" w:eastAsia="宋体" w:cs="Times New Roman"/>
      <w:sz w:val="18"/>
      <w:szCs w:val="18"/>
      <w:lang w:val="en-US" w:eastAsia="zh-CN" w:bidi="ar-SA"/>
    </w:rPr>
  </w:style>
  <w:style w:type="character" w:customStyle="1" w:styleId="19">
    <w:name w:val="font11"/>
    <w:basedOn w:val="13"/>
    <w:qFormat/>
    <w:uiPriority w:val="0"/>
    <w:rPr>
      <w:rFonts w:hint="eastAsia" w:ascii="宋体" w:hAnsi="宋体" w:eastAsia="宋体" w:cs="宋体"/>
      <w:color w:val="000000"/>
      <w:sz w:val="22"/>
      <w:szCs w:val="22"/>
      <w:u w:val="none"/>
    </w:rPr>
  </w:style>
  <w:style w:type="character" w:customStyle="1" w:styleId="20">
    <w:name w:val="font01"/>
    <w:basedOn w:val="13"/>
    <w:qFormat/>
    <w:uiPriority w:val="0"/>
    <w:rPr>
      <w:rFonts w:hint="eastAsia" w:ascii="宋体" w:hAnsi="宋体" w:eastAsia="宋体" w:cs="宋体"/>
      <w:color w:val="000000"/>
      <w:sz w:val="22"/>
      <w:szCs w:val="22"/>
      <w:u w:val="none"/>
    </w:rPr>
  </w:style>
  <w:style w:type="paragraph" w:customStyle="1" w:styleId="21">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813a6b9d-7f0d-4f3b-9ee1-23edbb5c82c9</errorID>
      <errorWord>国家药临局</errorWord>
      <group>L1_Word</group>
      <groupName>字词问题</groupName>
      <ability>L2_Typo</ability>
      <abilityName>字词错误</abilityName>
      <candidateList>
        <item>国家药监局</item>
      </candidateList>
      <explain>存在字形相近字词的误用。</explain>
      <paraID> 823BB87</paraID>
      <start>4</start>
      <end>9</end>
      <status>modified</status>
      <modifiedWord>国家药监局</modifiedWord>
      <trackRevisions>false</trackRevisions>
    </reviewItem>
    <reviewItem>
      <errorID>0a48a0af-cbea-4fb8-ac80-cdea53db365d</errorID>
      <errorWord>(</errorWord>
      <group>L1_Format</group>
      <groupName>格式问题</groupName>
      <ability>L2_HalfPunc_CN</ability>
      <abilityName>全半角问题</abilityName>
      <candidateList>
        <item>（</item>
      </candidateList>
      <explain>文本全半角错误。</explain>
      <paraID>3B43542F</paraID>
      <start>69</start>
      <end>70</end>
      <status>unmodified</status>
      <modifiedWord/>
      <trackRevisions>false</trackRevisions>
    </reviewItem>
    <reviewItem>
      <errorID>b1d7ee35-032b-4854-8fc9-7c772d4b36f7</errorID>
      <errorWord>)</errorWord>
      <group>L1_Format</group>
      <groupName>格式问题</groupName>
      <ability>L2_HalfPunc_CN</ability>
      <abilityName>全半角问题</abilityName>
      <candidateList>
        <item>）</item>
      </candidateList>
      <explain>文本全半角错误。</explain>
      <paraID>3B43542F</paraID>
      <start>72</start>
      <end>73</end>
      <status>unmodified</status>
      <modifiedWord/>
      <trackRevisions>false</trackRevisions>
    </reviewItem>
    <reviewItem>
      <errorID>783da125-b1a9-4e50-82eb-1a28c9e7ed41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7BFB71D4</paraID>
      <start>13</start>
      <end>14</end>
      <status>unmodified</status>
      <modifiedWord/>
      <trackRevisions>false</trackRevisions>
    </reviewItem>
    <reviewItem>
      <errorID>a9e0c0f3-e640-4c0e-863c-070613bb61b9</errorID>
      <errorWord>)</errorWord>
      <group>L1_Format</group>
      <groupName>格式问题</groupName>
      <ability>L2_HalfPunc_CN</ability>
      <abilityName>全半角问题</abilityName>
      <candidateList>
        <item>）</item>
      </candidateList>
      <explain>文本全半角错误。</explain>
      <paraID>67CBC738</paraID>
      <start>66</start>
      <end>67</end>
      <status>unmodified</status>
      <modifiedWord/>
      <trackRevisions>false</trackRevisions>
    </reviewItem>
    <reviewItem>
      <errorID>8c2bbf9b-2af1-437d-9593-0abac902dc2c</errorID>
      <errorWord>法律、法规</errorWord>
      <group>L1_Word</group>
      <groupName>字词问题</groupName>
      <ability>L2_Typo</ability>
      <abilityName>字词错误</abilityName>
      <candidateList>
        <item>法律法规</item>
      </candidateList>
      <explain/>
      <paraID>3231A73E</paraID>
      <start>8</start>
      <end>13</end>
      <status>unmodified</status>
      <modifiedWord/>
      <trackRevisions>false</trackRevisions>
    </reviewItem>
    <reviewItem>
      <errorID>d7d40c92-36a2-49ec-9f89-4c76fe663fa7</errorID>
      <errorWord>月</errorWord>
      <group>L1_Word</group>
      <groupName>字词问题</groupName>
      <ability>L2_Typo</ability>
      <abilityName>字词错误</abilityName>
      <candidateList>
        <item>月内</item>
      </candidateList>
      <explain/>
      <paraID>20409B78</paraID>
      <start>10</start>
      <end>11</end>
      <status>unmodified</status>
      <modifiedWord/>
      <trackRevisions>false</trackRevisions>
    </reviewItem>
  </reviewItems>
  <config/>
</contractReview>
</file>

<file path=customXml/itemProps1.xml><?xml version="1.0" encoding="utf-8"?>
<ds:datastoreItem xmlns:ds="http://schemas.openxmlformats.org/officeDocument/2006/customXml" ds:itemID="{aaaa7ea2-1ffe-4978-ab0c-77db6f6d1c84}">
  <ds:schemaRefs/>
</ds:datastoreItem>
</file>

<file path=docProps/app.xml><?xml version="1.0" encoding="utf-8"?>
<Properties xmlns="http://schemas.openxmlformats.org/officeDocument/2006/extended-properties" xmlns:vt="http://schemas.openxmlformats.org/officeDocument/2006/docPropsVTypes">
  <Template>Normal</Template>
  <Pages>3</Pages>
  <Words>2374</Words>
  <Characters>3057</Characters>
  <Lines>18</Lines>
  <Paragraphs>5</Paragraphs>
  <TotalTime>7</TotalTime>
  <ScaleCrop>false</ScaleCrop>
  <LinksUpToDate>false</LinksUpToDate>
  <CharactersWithSpaces>3207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2019-06-05T05:10:00Z</dcterms:created>
  <dc:creator>全国医用电器标准化技术委员会</dc:creator>
  <cp:lastModifiedBy>Amy</cp:lastModifiedBy>
  <dcterms:modified xsi:type="dcterms:W3CDTF">2026-07-16T02:42:24Z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D7A806A06744406AA8164B14F375A7E5</vt:lpwstr>
  </property>
  <property fmtid="{D5CDD505-2E9C-101B-9397-08002B2CF9AE}" pid="4" name="KSOTemplateDocerSaveRecord">
    <vt:lpwstr>eyJoZGlkIjoiYTMxMzc2M2JhY2JmMjQyYTIzOTIwM2Y2YjJhN2MyNmYiLCJ1c2VySWQiOiI1OTMxMzk4MTcifQ==</vt:lpwstr>
  </property>
</Properties>
</file>