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asci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GB 9706.1-2020 </w:t>
      </w:r>
      <w:r>
        <w:rPr>
          <w:rFonts w:hint="eastAsia" w:ascii="宋体" w:hAnsi="宋体"/>
          <w:sz w:val="36"/>
          <w:szCs w:val="36"/>
        </w:rPr>
        <w:t>测试和测试设备参考清单</w:t>
      </w:r>
    </w:p>
    <w:p/>
    <w:tbl>
      <w:tblPr>
        <w:tblStyle w:val="76"/>
        <w:tblW w:w="130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1995"/>
        <w:gridCol w:w="5386"/>
        <w:gridCol w:w="56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43" w:hRule="atLeast"/>
          <w:tblHeader/>
          <w:jc w:val="center"/>
        </w:trPr>
        <w:tc>
          <w:tcPr>
            <w:tcW w:w="1995" w:type="dxa"/>
            <w:shd w:val="pct5" w:color="auto" w:fill="auto"/>
            <w:vAlign w:val="center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标准条款号</w:t>
            </w:r>
          </w:p>
        </w:tc>
        <w:tc>
          <w:tcPr>
            <w:tcW w:w="5386" w:type="dxa"/>
            <w:shd w:val="pct5" w:color="auto" w:fill="auto"/>
            <w:vAlign w:val="center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测量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测试</w:t>
            </w:r>
          </w:p>
        </w:tc>
        <w:tc>
          <w:tcPr>
            <w:tcW w:w="5670" w:type="dxa"/>
            <w:shd w:val="pct5" w:color="auto" w:fill="auto"/>
            <w:vAlign w:val="center"/>
          </w:tcPr>
          <w:p>
            <w:pPr>
              <w:spacing w:before="60" w:after="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所需的测试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测量设备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材料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07" w:hRule="atLeast"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4.11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</w:rPr>
              <w:t>输入功率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合适的测量电压，电流</w:t>
            </w:r>
            <w:r>
              <w:t>/</w:t>
            </w:r>
            <w:r>
              <w:rPr>
                <w:rFonts w:hint="eastAsia"/>
              </w:rPr>
              <w:t>功率和频率的装置。</w:t>
            </w:r>
          </w:p>
          <w:p>
            <w:pPr>
              <w:jc w:val="left"/>
            </w:pPr>
            <w:r>
              <w:rPr>
                <w:rFonts w:hint="eastAsia"/>
              </w:rPr>
              <w:t>电源：单相和三相可调变压器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5.3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环境温度、湿度和大气压力</w:t>
            </w:r>
          </w:p>
        </w:tc>
        <w:tc>
          <w:tcPr>
            <w:tcW w:w="5670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合适的记录环境温度，湿度，大气压力的装置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5.7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潮湿预处理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环境条件：可控制温度和湿度的环境试验箱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5.9.2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可触及部分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测力计（</w:t>
            </w:r>
            <w:r>
              <w:t>30N</w:t>
            </w:r>
            <w:r>
              <w:rPr>
                <w:rFonts w:hint="eastAsia"/>
              </w:rPr>
              <w:t>），标准试验指（图</w:t>
            </w:r>
            <w:r>
              <w:t>6</w:t>
            </w:r>
            <w:r>
              <w:rPr>
                <w:rFonts w:hint="eastAsia"/>
              </w:rPr>
              <w:t>），无关节的直试验指，试验钩（图7）</w:t>
            </w:r>
          </w:p>
          <w:p>
            <w:pPr>
              <w:pStyle w:val="73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7.1.2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标记易认性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>照度计</w:t>
            </w:r>
          </w:p>
          <w:p>
            <w:pPr>
              <w:autoSpaceDE w:val="0"/>
              <w:autoSpaceDN w:val="0"/>
              <w:adjustRightInd w:val="0"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7.1.3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标记耐久性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蒸馏水，乙醇（</w:t>
            </w:r>
            <w:r>
              <w:t>96%</w:t>
            </w:r>
            <w:r>
              <w:rPr>
                <w:rFonts w:hint="eastAsia"/>
              </w:rPr>
              <w:t>纯度），异丙醇，计时器</w:t>
            </w:r>
            <w:r>
              <w:t>/</w:t>
            </w:r>
            <w:r>
              <w:rPr>
                <w:rFonts w:hint="eastAsia"/>
              </w:rPr>
              <w:t>秒表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i/>
                <w:i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8.4.2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可触及部分和应用部分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示波器，示波器导线，合适的用于测量电压，电流，电容的设备，试验针（图</w:t>
            </w:r>
            <w:r>
              <w:t>8</w:t>
            </w:r>
            <w:r>
              <w:rPr>
                <w:rFonts w:hint="eastAsia"/>
              </w:rPr>
              <w:t>），金属试验棒（直径</w:t>
            </w:r>
            <w:r>
              <w:t>=4mm</w:t>
            </w:r>
            <w:r>
              <w:rPr>
                <w:rFonts w:hint="eastAsia"/>
              </w:rPr>
              <w:t>，长度</w:t>
            </w:r>
            <w:r>
              <w:t>=100mm</w:t>
            </w:r>
            <w:r>
              <w:rPr>
                <w:rFonts w:hint="eastAsia"/>
              </w:rPr>
              <w:t>），测力计（</w:t>
            </w:r>
            <w:r>
              <w:t>10N</w:t>
            </w:r>
            <w:r>
              <w:rPr>
                <w:rFonts w:hint="eastAsia"/>
              </w:rPr>
              <w:t>）。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8.4.3,</w:t>
            </w:r>
          </w:p>
          <w:p>
            <w:pPr>
              <w:pStyle w:val="73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8.4.4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</w:rPr>
              <w:t>电压和电能的限制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合适的记录示波器</w:t>
            </w:r>
            <w:r>
              <w:t>/</w:t>
            </w:r>
            <w:r>
              <w:rPr>
                <w:rFonts w:hint="eastAsia"/>
              </w:rPr>
              <w:t>设置和</w:t>
            </w:r>
            <w:r>
              <w:t>RCL</w:t>
            </w:r>
            <w:r>
              <w:rPr>
                <w:rFonts w:hint="eastAsia"/>
              </w:rPr>
              <w:t>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8.5.5.1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除颤防护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t>5kV</w:t>
            </w:r>
            <w:r>
              <w:rPr>
                <w:rFonts w:hint="eastAsia"/>
              </w:rPr>
              <w:t>测试电路和符合图</w:t>
            </w:r>
            <w:r>
              <w:t>9</w:t>
            </w:r>
            <w:r>
              <w:rPr>
                <w:rFonts w:hint="eastAsia"/>
              </w:rPr>
              <w:t>及图</w:t>
            </w:r>
            <w:r>
              <w:t>10</w:t>
            </w:r>
            <w:r>
              <w:rPr>
                <w:rFonts w:hint="eastAsia"/>
              </w:rPr>
              <w:t>的示波器接口电路，示波器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8.5.5.2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能量减少试验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符合图</w:t>
            </w:r>
            <w:r>
              <w:t>11</w:t>
            </w:r>
            <w:r>
              <w:rPr>
                <w:rFonts w:hint="eastAsia"/>
              </w:rPr>
              <w:t>的测试电路，示波器，示波器导线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8.6.4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阻抗及载流能力</w:t>
            </w:r>
          </w:p>
        </w:tc>
        <w:tc>
          <w:tcPr>
            <w:tcW w:w="5670" w:type="dxa"/>
          </w:tcPr>
          <w:p>
            <w:pPr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>电流源（最小</w:t>
            </w:r>
            <w:r>
              <w:rPr>
                <w:iCs/>
              </w:rPr>
              <w:t>25A</w:t>
            </w:r>
            <w:r>
              <w:rPr>
                <w:rFonts w:hint="eastAsia"/>
                <w:iCs/>
              </w:rPr>
              <w:t>，</w:t>
            </w:r>
            <w:r>
              <w:rPr>
                <w:iCs/>
              </w:rPr>
              <w:t>50</w:t>
            </w:r>
            <w:r>
              <w:rPr>
                <w:rFonts w:hint="eastAsia"/>
                <w:iCs/>
              </w:rPr>
              <w:t>或</w:t>
            </w:r>
            <w:r>
              <w:rPr>
                <w:iCs/>
              </w:rPr>
              <w:t>60Hz</w:t>
            </w:r>
            <w:r>
              <w:rPr>
                <w:rFonts w:hint="eastAsia"/>
                <w:iCs/>
              </w:rPr>
              <w:t>，最大</w:t>
            </w:r>
            <w:r>
              <w:rPr>
                <w:iCs/>
              </w:rPr>
              <w:t>6V</w:t>
            </w:r>
            <w:r>
              <w:rPr>
                <w:rFonts w:hint="eastAsia"/>
                <w:iCs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8.7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漏电流和患者辅助电流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符合图</w:t>
            </w:r>
            <w:r>
              <w:t>12</w:t>
            </w:r>
            <w:r>
              <w:rPr>
                <w:rFonts w:hint="eastAsia"/>
              </w:rPr>
              <w:t>的测量装置，网电源隔离变压器，可调节变压器，电压表，毫伏表，铝箔，不同的电路（图</w:t>
            </w:r>
            <w:r>
              <w:t>13</w:t>
            </w:r>
            <w:r>
              <w:rPr>
                <w:rFonts w:hint="eastAsia"/>
              </w:rPr>
              <w:t>至</w:t>
            </w:r>
            <w:r>
              <w:t>20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8.8.3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电介质强度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高压测试仪，用于高压测试的隔离变压器，秒表</w:t>
            </w:r>
            <w:r>
              <w:t>/</w:t>
            </w:r>
            <w:r>
              <w:rPr>
                <w:rFonts w:hint="eastAsia"/>
              </w:rPr>
              <w:t>计时器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8.8.4.1 a)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</w:rPr>
              <w:t>球压试验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符合</w:t>
            </w:r>
            <w:r>
              <w:t>IEC 60695-10-2</w:t>
            </w:r>
            <w:r>
              <w:rPr>
                <w:rFonts w:hint="eastAsia"/>
              </w:rPr>
              <w:t>（</w:t>
            </w:r>
            <w:r>
              <w:t>GB/T 5169.21</w:t>
            </w:r>
            <w:r>
              <w:rPr>
                <w:rFonts w:hint="eastAsia"/>
              </w:rPr>
              <w:t>）的测试设备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8.8.4.2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环境应力耐受性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加氧下橡胶老化试验装置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8.9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爬电距离和电气间隙</w:t>
            </w:r>
            <w:r>
              <w:rPr>
                <w:bCs/>
              </w:rPr>
              <w:t xml:space="preserve">  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示波器，示波器导线，游标卡尺，千分尺，塞规，测力计（</w:t>
            </w:r>
            <w:r>
              <w:t>2N</w:t>
            </w:r>
            <w:r>
              <w:rPr>
                <w:rFonts w:hint="eastAsia"/>
              </w:rPr>
              <w:t>和</w:t>
            </w:r>
            <w:r>
              <w:t>30N</w:t>
            </w:r>
            <w:r>
              <w:rPr>
                <w:rFonts w:hint="eastAsia"/>
              </w:rPr>
              <w:t>），标准试验指（图</w:t>
            </w:r>
            <w:r>
              <w:t>6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8.9.1.7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材料组分类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符合</w:t>
            </w:r>
            <w:r>
              <w:t>IEC 60112</w:t>
            </w:r>
            <w:r>
              <w:rPr>
                <w:rFonts w:hint="eastAsia"/>
              </w:rPr>
              <w:t>（</w:t>
            </w:r>
            <w:r>
              <w:t>GB/T 4207</w:t>
            </w:r>
            <w:r>
              <w:rPr>
                <w:rFonts w:hint="eastAsia"/>
              </w:rPr>
              <w:t>）的测试设备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8.9.3.4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热循环试验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加热箱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8.11.3.5 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电线固定用零件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测力计（至少</w:t>
            </w:r>
            <w:r>
              <w:t>100N</w:t>
            </w:r>
            <w:r>
              <w:rPr>
                <w:rFonts w:hint="eastAsia"/>
              </w:rPr>
              <w:t>），扭矩仪（至少</w:t>
            </w:r>
            <w:r>
              <w:t>0.</w:t>
            </w:r>
            <w:r>
              <w:rPr>
                <w:rFonts w:hint="eastAsia"/>
              </w:rPr>
              <w:t>35</w:t>
            </w:r>
            <w:r>
              <w:t>Nm</w:t>
            </w:r>
            <w:r>
              <w:rPr>
                <w:rFonts w:hint="eastAsia"/>
              </w:rPr>
              <w:t>）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8.11.3.6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软电线防护套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秤，角度规，半径规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9.4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不稳定性的危险（源）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t>5°</w:t>
            </w:r>
            <w:r>
              <w:rPr>
                <w:rFonts w:hint="eastAsia"/>
              </w:rPr>
              <w:t>及</w:t>
            </w:r>
            <w:r>
              <w:t>10°</w:t>
            </w:r>
            <w:r>
              <w:rPr>
                <w:rFonts w:hint="eastAsia"/>
              </w:rPr>
              <w:t>斜面或倾斜仪或角度测量计算，测力计（至少</w:t>
            </w:r>
            <w:r>
              <w:t>220N</w:t>
            </w:r>
            <w:r>
              <w:rPr>
                <w:rFonts w:hint="eastAsia"/>
              </w:rPr>
              <w:t>），</w:t>
            </w:r>
            <w:r>
              <w:t>20cm</w:t>
            </w:r>
            <w:r>
              <w:rPr>
                <w:rFonts w:hint="eastAsia"/>
              </w:rPr>
              <w:t>×</w:t>
            </w:r>
            <w:r>
              <w:t>20cm</w:t>
            </w:r>
            <w:r>
              <w:rPr>
                <w:rFonts w:hint="eastAsia"/>
              </w:rPr>
              <w:t>的测试平面，秤，测试门槛（高</w:t>
            </w:r>
            <w:r>
              <w:t>10mm</w:t>
            </w:r>
            <w:r>
              <w:rPr>
                <w:rFonts w:hint="eastAsia"/>
              </w:rPr>
              <w:t>和宽</w:t>
            </w:r>
            <w:r>
              <w:t>80mm</w:t>
            </w:r>
            <w:r>
              <w:rPr>
                <w:rFonts w:hint="eastAsia"/>
              </w:rPr>
              <w:t>），</w:t>
            </w:r>
            <w:r>
              <w:t>7cm</w:t>
            </w:r>
            <w:r>
              <w:rPr>
                <w:rFonts w:hint="eastAsia"/>
              </w:rPr>
              <w:t>拉手吊带，秒表</w:t>
            </w:r>
            <w:r>
              <w:t>/</w:t>
            </w:r>
            <w:r>
              <w:rPr>
                <w:rFonts w:hint="eastAsia"/>
              </w:rPr>
              <w:t>计时器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9.5.2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阴极射线管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iCs/>
              </w:rPr>
              <w:t>IEC 60065 (GB 8898)</w:t>
            </w:r>
            <w:r>
              <w:rPr>
                <w:rFonts w:hint="eastAsia"/>
                <w:iCs/>
              </w:rPr>
              <w:t>中第</w:t>
            </w:r>
            <w:r>
              <w:rPr>
                <w:iCs/>
              </w:rPr>
              <w:t>18</w:t>
            </w:r>
            <w:r>
              <w:rPr>
                <w:rFonts w:hint="eastAsia"/>
                <w:iCs/>
              </w:rPr>
              <w:t>章的相关测试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9.6.2.1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可听声能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>符合</w:t>
            </w:r>
            <w:r>
              <w:rPr>
                <w:iCs/>
              </w:rPr>
              <w:t>ISO 3746</w:t>
            </w:r>
            <w:r>
              <w:rPr>
                <w:rFonts w:hint="eastAsia"/>
                <w:iCs/>
              </w:rPr>
              <w:t>（</w:t>
            </w:r>
            <w:r>
              <w:rPr>
                <w:iCs/>
              </w:rPr>
              <w:t>GB/T 3768</w:t>
            </w:r>
            <w:r>
              <w:rPr>
                <w:rFonts w:hint="eastAsia"/>
                <w:iCs/>
              </w:rPr>
              <w:t>）</w:t>
            </w:r>
            <w:r>
              <w:rPr>
                <w:iCs/>
              </w:rPr>
              <w:t>,ISO 9614-1</w:t>
            </w:r>
            <w:r>
              <w:rPr>
                <w:rFonts w:hint="eastAsia"/>
                <w:iCs/>
              </w:rPr>
              <w:t>或</w:t>
            </w:r>
            <w:r>
              <w:rPr>
                <w:iCs/>
              </w:rPr>
              <w:t>IEC 61672-1(GB/T 3785.1)</w:t>
            </w:r>
            <w:r>
              <w:rPr>
                <w:rFonts w:hint="eastAsia"/>
                <w:iCs/>
                <w:lang w:val="es-ES"/>
              </w:rPr>
              <w:t>要求的</w:t>
            </w:r>
            <w:r>
              <w:rPr>
                <w:iCs/>
              </w:rPr>
              <w:t>A</w:t>
            </w:r>
            <w:r>
              <w:rPr>
                <w:rFonts w:hint="eastAsia"/>
                <w:iCs/>
              </w:rPr>
              <w:t>计权声压级。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9.6.3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手传振动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依据</w:t>
            </w:r>
            <w:r>
              <w:t>ISO5349-1</w:t>
            </w:r>
            <w:r>
              <w:rPr>
                <w:rFonts w:hint="eastAsia"/>
              </w:rPr>
              <w:t>（</w:t>
            </w:r>
            <w:r>
              <w:t>GB/T 14790.1</w:t>
            </w:r>
            <w:r>
              <w:rPr>
                <w:rFonts w:hint="eastAsia"/>
              </w:rPr>
              <w:t>）要求进行的测量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9.7.5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压力容器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水压测试装置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9.8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支承系统相关的机械危险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砝码或测力传感器，</w:t>
            </w:r>
            <w:r>
              <w:t>0.1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测试平面，秒表</w:t>
            </w:r>
            <w:r>
              <w:t>/</w:t>
            </w:r>
            <w:r>
              <w:rPr>
                <w:rFonts w:hint="eastAsia"/>
              </w:rPr>
              <w:t>计时器，人体测试质量（图</w:t>
            </w:r>
            <w:r>
              <w:t>33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10.1</w:t>
            </w:r>
          </w:p>
        </w:tc>
        <w:tc>
          <w:tcPr>
            <w:tcW w:w="5386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X</w:t>
            </w:r>
            <w:r>
              <w:rPr>
                <w:rFonts w:hint="eastAsia"/>
                <w:b w:val="0"/>
                <w:sz w:val="22"/>
                <w:szCs w:val="22"/>
              </w:rPr>
              <w:t>射线辐射</w:t>
            </w:r>
          </w:p>
        </w:tc>
        <w:tc>
          <w:tcPr>
            <w:tcW w:w="5670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辐射计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10.3</w:t>
            </w:r>
          </w:p>
        </w:tc>
        <w:tc>
          <w:tcPr>
            <w:tcW w:w="5386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微波辐射</w:t>
            </w:r>
          </w:p>
        </w:tc>
        <w:tc>
          <w:tcPr>
            <w:tcW w:w="5670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辐射计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10.4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激光器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符合</w:t>
            </w:r>
            <w:r>
              <w:t>IEC 60825-1</w:t>
            </w:r>
            <w:r>
              <w:rPr>
                <w:rFonts w:hint="eastAsia"/>
              </w:rPr>
              <w:t>（</w:t>
            </w:r>
            <w:r>
              <w:t>GB 7247.1</w:t>
            </w:r>
            <w:r>
              <w:rPr>
                <w:rFonts w:hint="eastAsia"/>
              </w:rPr>
              <w:t>）要求的测试设备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11.1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超温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温度指示器</w:t>
            </w:r>
            <w:r>
              <w:t>/</w:t>
            </w:r>
            <w:r>
              <w:rPr>
                <w:rFonts w:hint="eastAsia"/>
              </w:rPr>
              <w:t>适合此功能的记录器和热电偶，</w:t>
            </w:r>
            <w:r>
              <w:t>4</w:t>
            </w:r>
            <w:r>
              <w:rPr>
                <w:rFonts w:hint="eastAsia"/>
              </w:rPr>
              <w:t>线制阻抗部件，试验角，可调变压器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11.2</w:t>
            </w:r>
          </w:p>
        </w:tc>
        <w:tc>
          <w:tcPr>
            <w:tcW w:w="5386" w:type="dxa"/>
          </w:tcPr>
          <w:p>
            <w:pPr>
              <w:jc w:val="left"/>
            </w:pPr>
            <w:r>
              <w:rPr>
                <w:rFonts w:hint="eastAsia"/>
                <w:bCs/>
              </w:rPr>
              <w:t>防火</w:t>
            </w:r>
          </w:p>
        </w:tc>
        <w:tc>
          <w:tcPr>
            <w:tcW w:w="5670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火花点燃试验装置（图</w:t>
            </w:r>
            <w:r>
              <w:rPr>
                <w:bCs/>
              </w:rPr>
              <w:t>34</w:t>
            </w:r>
            <w:r>
              <w:rPr>
                <w:rFonts w:hint="eastAsia"/>
                <w:bCs/>
              </w:rPr>
              <w:t>），氧浓度分析仪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11.3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防火外壳的结构要求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  <w:rPr>
                <w:i/>
                <w:iCs/>
              </w:rPr>
            </w:pPr>
            <w:r>
              <w:t>IEC 60695-11-10</w:t>
            </w:r>
            <w:r>
              <w:rPr>
                <w:rFonts w:hint="eastAsia"/>
              </w:rPr>
              <w:t>（</w:t>
            </w:r>
            <w:r>
              <w:t>GB/T 5169.16</w:t>
            </w:r>
            <w:r>
              <w:rPr>
                <w:rFonts w:hint="eastAsia"/>
              </w:rPr>
              <w:t>）规定的</w:t>
            </w:r>
            <w:r>
              <w:t>FV</w:t>
            </w:r>
            <w:r>
              <w:rPr>
                <w:rFonts w:hint="eastAsia"/>
              </w:rPr>
              <w:t>测试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11.6.2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溢流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iCs/>
              </w:rPr>
              <w:t>15</w:t>
            </w:r>
            <w:r>
              <w:t>°</w:t>
            </w:r>
            <w:r>
              <w:rPr>
                <w:rFonts w:hint="eastAsia"/>
              </w:rPr>
              <w:t>斜面或倾斜仪或角度测量计算，秒表</w:t>
            </w:r>
            <w:r>
              <w:t>/</w:t>
            </w:r>
            <w:r>
              <w:rPr>
                <w:rFonts w:hint="eastAsia"/>
              </w:rPr>
              <w:t>计时器，高压试验仪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11.6.3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液体泼洒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烧杯或量筒，秒表</w:t>
            </w:r>
            <w:r>
              <w:t>/</w:t>
            </w:r>
            <w:r>
              <w:rPr>
                <w:rFonts w:hint="eastAsia"/>
              </w:rPr>
              <w:t>计时器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11.6.5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水或颗粒物侵入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依据</w:t>
            </w:r>
            <w:r>
              <w:t>IEC 60529(GB/T 4208)</w:t>
            </w:r>
            <w:r>
              <w:rPr>
                <w:rFonts w:hint="eastAsia"/>
              </w:rPr>
              <w:t>中的分类测试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11.6.6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清洗和消毒</w:t>
            </w:r>
          </w:p>
        </w:tc>
        <w:tc>
          <w:tcPr>
            <w:tcW w:w="5670" w:type="dxa"/>
          </w:tcPr>
          <w:p>
            <w:pPr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>电介质强度和漏电流测试（如适用）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11.6.7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灭菌</w:t>
            </w:r>
          </w:p>
        </w:tc>
        <w:tc>
          <w:tcPr>
            <w:tcW w:w="5670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按客户规定进行灭菌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危险情况和故障状态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>
              <w:rPr>
                <w:rFonts w:hint="eastAsia"/>
                <w:iCs/>
              </w:rPr>
              <w:t>秒表</w:t>
            </w:r>
            <w:r>
              <w:rPr>
                <w:iCs/>
              </w:rPr>
              <w:t>/</w:t>
            </w:r>
            <w:r>
              <w:rPr>
                <w:rFonts w:hint="eastAsia"/>
                <w:iCs/>
              </w:rPr>
              <w:t>计时器，电压表，电流表，</w:t>
            </w:r>
            <w:r>
              <w:rPr>
                <w:rFonts w:hint="eastAsia"/>
              </w:rPr>
              <w:t>温度指示器</w:t>
            </w:r>
            <w:r>
              <w:t>/</w:t>
            </w:r>
            <w:r>
              <w:rPr>
                <w:rFonts w:hint="eastAsia"/>
              </w:rPr>
              <w:t>适合此功能的记录器和热电偶</w:t>
            </w:r>
            <w:r>
              <w:rPr>
                <w:rFonts w:hint="eastAsia"/>
                <w:iCs/>
              </w:rPr>
              <w:t>，</w:t>
            </w:r>
            <w:r>
              <w:rPr>
                <w:iCs/>
              </w:rPr>
              <w:t>4</w:t>
            </w:r>
            <w:r>
              <w:rPr>
                <w:rFonts w:hint="eastAsia"/>
                <w:iCs/>
              </w:rPr>
              <w:t>线制阻抗部件，</w:t>
            </w:r>
            <w:r>
              <w:rPr>
                <w:rFonts w:hint="eastAsia"/>
                <w:color w:val="333333"/>
                <w:shd w:val="clear" w:color="auto" w:fill="FFFFFF"/>
              </w:rPr>
              <w:t>粗棉布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15.3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机械强度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>测力计（最小</w:t>
            </w:r>
            <w:r>
              <w:rPr>
                <w:iCs/>
              </w:rPr>
              <w:t>250N</w:t>
            </w:r>
            <w:r>
              <w:rPr>
                <w:rFonts w:hint="eastAsia"/>
                <w:iCs/>
              </w:rPr>
              <w:t>），直径</w:t>
            </w:r>
            <w:r>
              <w:rPr>
                <w:iCs/>
              </w:rPr>
              <w:t>30mm</w:t>
            </w:r>
            <w:r>
              <w:rPr>
                <w:rFonts w:hint="eastAsia"/>
                <w:iCs/>
              </w:rPr>
              <w:t>的圆形平面，</w:t>
            </w:r>
            <w:r>
              <w:rPr>
                <w:iCs/>
              </w:rPr>
              <w:t>500g</w:t>
            </w:r>
            <w:r>
              <w:rPr>
                <w:rFonts w:hint="eastAsia"/>
                <w:iCs/>
              </w:rPr>
              <w:t>的钢球，</w:t>
            </w:r>
            <w:r>
              <w:rPr>
                <w:iCs/>
              </w:rPr>
              <w:t>50mm</w:t>
            </w:r>
            <w:r>
              <w:rPr>
                <w:rFonts w:hint="eastAsia"/>
                <w:iCs/>
              </w:rPr>
              <w:t>厚的硬制木板（硬木</w:t>
            </w:r>
            <w:r>
              <w:rPr>
                <w:iCs/>
              </w:rPr>
              <w:t>&gt;600 kg/m</w:t>
            </w:r>
            <w:r>
              <w:rPr>
                <w:iCs/>
                <w:vertAlign w:val="superscript"/>
              </w:rPr>
              <w:t>3</w:t>
            </w:r>
            <w:r>
              <w:rPr>
                <w:rFonts w:hint="eastAsia"/>
                <w:iCs/>
              </w:rPr>
              <w:t>）</w:t>
            </w:r>
            <w:r>
              <w:rPr>
                <w:iCs/>
              </w:rPr>
              <w:t>,40mm</w:t>
            </w:r>
            <w:r>
              <w:rPr>
                <w:rFonts w:hint="eastAsia"/>
                <w:iCs/>
              </w:rPr>
              <w:t>的横档，硬木门框（</w:t>
            </w:r>
            <w:r>
              <w:rPr>
                <w:iCs/>
              </w:rPr>
              <w:t>40 mm</w:t>
            </w:r>
            <w:r>
              <w:rPr>
                <w:iCs/>
                <w:vertAlign w:val="superscript"/>
              </w:rPr>
              <w:t>2</w:t>
            </w:r>
            <w:r>
              <w:rPr>
                <w:rFonts w:hint="eastAsia"/>
                <w:iCs/>
              </w:rPr>
              <w:t>），空气循环的烘箱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15.4.2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温度和过载控制装置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按</w:t>
            </w:r>
            <w:r>
              <w:t>IEC 60730-1</w:t>
            </w:r>
            <w:r>
              <w:rPr>
                <w:rFonts w:hint="eastAsia"/>
              </w:rPr>
              <w:t>中第</w:t>
            </w:r>
            <w:r>
              <w:t>15</w:t>
            </w:r>
            <w:r>
              <w:rPr>
                <w:rFonts w:hint="eastAsia"/>
              </w:rPr>
              <w:t>章，</w:t>
            </w:r>
            <w:r>
              <w:t>14</w:t>
            </w:r>
            <w:r>
              <w:rPr>
                <w:rFonts w:hint="eastAsia"/>
              </w:rPr>
              <w:t>章，</w:t>
            </w:r>
            <w:r>
              <w:t>J.15</w:t>
            </w:r>
            <w:r>
              <w:rPr>
                <w:rFonts w:hint="eastAsia"/>
              </w:rPr>
              <w:t>和</w:t>
            </w:r>
            <w:r>
              <w:t>J.17</w:t>
            </w:r>
            <w:r>
              <w:rPr>
                <w:rFonts w:hint="eastAsia"/>
              </w:rPr>
              <w:t>的正温度系数装置（</w:t>
            </w:r>
            <w:r>
              <w:t>PTC</w:t>
            </w:r>
            <w:r>
              <w:rPr>
                <w:rFonts w:hint="eastAsia"/>
              </w:rPr>
              <w:t>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i/>
                <w:i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15.4.3.4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锂原电池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按</w:t>
            </w:r>
            <w:r>
              <w:t>IEC 60086-4</w:t>
            </w:r>
            <w:r>
              <w:rPr>
                <w:rFonts w:hint="eastAsia"/>
              </w:rPr>
              <w:t>（</w:t>
            </w:r>
            <w:r>
              <w:t>GB 8897.4</w:t>
            </w:r>
            <w:r>
              <w:rPr>
                <w:rFonts w:hint="eastAsia"/>
              </w:rPr>
              <w:t>）中确定的性能试验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i/>
                <w:i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15.4.3.4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锂蓄电池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按</w:t>
            </w:r>
            <w:r>
              <w:t>IEC 62133</w:t>
            </w:r>
            <w:r>
              <w:rPr>
                <w:rFonts w:hint="eastAsia"/>
              </w:rPr>
              <w:t>（</w:t>
            </w:r>
            <w:r>
              <w:t>GB/T 28164</w:t>
            </w:r>
            <w:r>
              <w:rPr>
                <w:rFonts w:hint="eastAsia"/>
              </w:rPr>
              <w:t>）中确定的性能试验</w:t>
            </w:r>
          </w:p>
          <w:p>
            <w:pPr>
              <w:autoSpaceDE w:val="0"/>
              <w:autoSpaceDN w:val="0"/>
              <w:adjustRightInd w:val="0"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15.4.6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控制器的操作部件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  <w:iCs/>
              </w:rPr>
              <w:t>测力计（至少</w:t>
            </w:r>
            <w:r>
              <w:rPr>
                <w:iCs/>
              </w:rPr>
              <w:t>100N</w:t>
            </w:r>
            <w:r>
              <w:rPr>
                <w:rFonts w:hint="eastAsia"/>
                <w:iCs/>
              </w:rPr>
              <w:t>），扭矩仪（至少</w:t>
            </w:r>
            <w:r>
              <w:rPr>
                <w:iCs/>
              </w:rPr>
              <w:t>6Nm</w:t>
            </w:r>
            <w:r>
              <w:rPr>
                <w:rFonts w:hint="eastAsia"/>
                <w:iCs/>
              </w:rPr>
              <w:t>），秒表</w:t>
            </w:r>
            <w:r>
              <w:rPr>
                <w:iCs/>
              </w:rPr>
              <w:t>/</w:t>
            </w:r>
            <w:r>
              <w:rPr>
                <w:rFonts w:hint="eastAsia"/>
                <w:iCs/>
              </w:rPr>
              <w:t>计时器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15.4.7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有电线连接的手持式和脚踏式控制装置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测力计（最小</w:t>
            </w:r>
            <w:r>
              <w:t>1350N</w:t>
            </w:r>
            <w:r>
              <w:rPr>
                <w:rFonts w:hint="eastAsia"/>
              </w:rPr>
              <w:t>），直径为</w:t>
            </w:r>
            <w:r>
              <w:t>30mm</w:t>
            </w:r>
            <w:r>
              <w:rPr>
                <w:rFonts w:hint="eastAsia"/>
              </w:rPr>
              <w:t>的试验工具，秒表</w:t>
            </w:r>
            <w:r>
              <w:t>/</w:t>
            </w:r>
            <w:r>
              <w:rPr>
                <w:rFonts w:hint="eastAsia"/>
              </w:rPr>
              <w:t>计时器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15.4.7.3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进液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依据</w:t>
            </w:r>
            <w:r>
              <w:t>IEC 60529(GB/T 4208)</w:t>
            </w:r>
            <w:r>
              <w:rPr>
                <w:rFonts w:hint="eastAsia"/>
              </w:rPr>
              <w:t>中的分类测试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15.5.1.1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变压器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rPr>
                <w:rFonts w:hint="eastAsia"/>
              </w:rPr>
              <w:t>变压器绕组测试仪，温度指示器</w:t>
            </w:r>
            <w:r>
              <w:t>/</w:t>
            </w:r>
            <w:r>
              <w:rPr>
                <w:rFonts w:hint="eastAsia"/>
              </w:rPr>
              <w:t>适合此功能的记录器和热电偶，可调节变压器，负载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15.5.2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电介质强度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  <w:rPr>
                <w:i/>
                <w:iCs/>
              </w:rPr>
            </w:pPr>
            <w:r>
              <w:rPr>
                <w:rFonts w:hint="eastAsia"/>
              </w:rPr>
              <w:t>五倍电压</w:t>
            </w:r>
            <w:r>
              <w:t>/</w:t>
            </w:r>
            <w:r>
              <w:rPr>
                <w:rFonts w:hint="eastAsia"/>
              </w:rPr>
              <w:t>五倍频率电介质强度测试夹具，秒表</w:t>
            </w:r>
            <w:r>
              <w:t>/</w:t>
            </w:r>
            <w:r>
              <w:rPr>
                <w:rFonts w:hint="eastAsia"/>
              </w:rPr>
              <w:t>计时器</w:t>
            </w:r>
          </w:p>
          <w:p>
            <w:pPr>
              <w:jc w:val="left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16.6 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漏电流</w:t>
            </w:r>
          </w:p>
        </w:tc>
        <w:tc>
          <w:tcPr>
            <w:tcW w:w="5670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按</w:t>
            </w:r>
            <w:r>
              <w:rPr>
                <w:bCs/>
              </w:rPr>
              <w:t>8.7</w:t>
            </w:r>
            <w:r>
              <w:rPr>
                <w:rFonts w:hint="eastAsia"/>
                <w:bCs/>
              </w:rPr>
              <w:t>条</w:t>
            </w:r>
          </w:p>
          <w:p>
            <w:pPr>
              <w:jc w:val="left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A 10.4</w:t>
            </w:r>
          </w:p>
        </w:tc>
        <w:tc>
          <w:tcPr>
            <w:tcW w:w="5386" w:type="dxa"/>
          </w:tcPr>
          <w:p>
            <w:pPr>
              <w:tabs>
                <w:tab w:val="left" w:pos="1020"/>
              </w:tabs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发光二极管</w:t>
            </w:r>
          </w:p>
        </w:tc>
        <w:tc>
          <w:tcPr>
            <w:tcW w:w="5670" w:type="dxa"/>
          </w:tcPr>
          <w:p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按</w:t>
            </w:r>
            <w:r>
              <w:t>IEC 62471</w:t>
            </w:r>
            <w:r>
              <w:rPr>
                <w:rFonts w:hint="eastAsia"/>
              </w:rPr>
              <w:t>规定</w:t>
            </w:r>
          </w:p>
          <w:p>
            <w:pPr>
              <w:jc w:val="left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G</w:t>
            </w:r>
          </w:p>
        </w:tc>
        <w:tc>
          <w:tcPr>
            <w:tcW w:w="5386" w:type="dxa"/>
          </w:tcPr>
          <w:p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>
              <w:rPr>
                <w:rFonts w:hint="eastAsia"/>
              </w:rPr>
              <w:t>对易燃麻醉混合气点燃危险（源）的防护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iCs/>
              </w:rPr>
              <w:t>4mm</w:t>
            </w:r>
            <w:r>
              <w:rPr>
                <w:rFonts w:hint="eastAsia"/>
                <w:iCs/>
              </w:rPr>
              <w:t>及</w:t>
            </w:r>
            <w:r>
              <w:rPr>
                <w:iCs/>
              </w:rPr>
              <w:t>12mm</w:t>
            </w:r>
            <w:r>
              <w:rPr>
                <w:rFonts w:hint="eastAsia"/>
                <w:iCs/>
              </w:rPr>
              <w:t>直径的试验棒，计时器</w:t>
            </w:r>
            <w:r>
              <w:rPr>
                <w:iCs/>
              </w:rPr>
              <w:t>/</w:t>
            </w:r>
            <w:r>
              <w:rPr>
                <w:rFonts w:hint="eastAsia"/>
                <w:iCs/>
              </w:rPr>
              <w:t>秒表，按</w:t>
            </w:r>
            <w:r>
              <w:rPr>
                <w:iCs/>
              </w:rPr>
              <w:t>IEC 60068-2-2</w:t>
            </w:r>
            <w:r>
              <w:rPr>
                <w:rFonts w:hint="eastAsia"/>
                <w:iCs/>
              </w:rPr>
              <w:t>（</w:t>
            </w:r>
            <w:r>
              <w:rPr>
                <w:iCs/>
              </w:rPr>
              <w:t>GB/T 2423.2</w:t>
            </w:r>
            <w:r>
              <w:rPr>
                <w:rFonts w:hint="eastAsia"/>
                <w:iCs/>
              </w:rPr>
              <w:t>）中</w:t>
            </w:r>
            <w:r>
              <w:rPr>
                <w:iCs/>
              </w:rPr>
              <w:t>B-b</w:t>
            </w:r>
            <w:r>
              <w:rPr>
                <w:rFonts w:hint="eastAsia"/>
                <w:iCs/>
              </w:rPr>
              <w:t>的密封垫试验，测力计（最小</w:t>
            </w:r>
            <w:r>
              <w:rPr>
                <w:iCs/>
              </w:rPr>
              <w:t>100N</w:t>
            </w:r>
            <w:r>
              <w:rPr>
                <w:rFonts w:hint="eastAsia"/>
                <w:iCs/>
              </w:rPr>
              <w:t>），气体压力表（范围是</w:t>
            </w:r>
            <w:r>
              <w:rPr>
                <w:iCs/>
              </w:rPr>
              <w:t>0</w:t>
            </w:r>
            <w:r>
              <w:rPr>
                <w:rFonts w:hint="eastAsia"/>
                <w:iCs/>
              </w:rPr>
              <w:t>至</w:t>
            </w:r>
            <w:r>
              <w:rPr>
                <w:iCs/>
              </w:rPr>
              <w:t>400Pa</w:t>
            </w:r>
            <w:r>
              <w:rPr>
                <w:rFonts w:hint="eastAsia"/>
                <w:iCs/>
              </w:rPr>
              <w:t>），电压表，电流表，欧姆表，电容和电感表，乙醚</w:t>
            </w:r>
            <w:r>
              <w:rPr>
                <w:iCs/>
              </w:rPr>
              <w:t>-</w:t>
            </w:r>
            <w:r>
              <w:rPr>
                <w:rFonts w:hint="eastAsia"/>
                <w:iCs/>
              </w:rPr>
              <w:t>氧混合气（乙醚容积百分比为</w:t>
            </w:r>
            <w:r>
              <w:rPr>
                <w:iCs/>
              </w:rPr>
              <w:t>12.2%± 0.4 %</w:t>
            </w:r>
            <w:r>
              <w:rPr>
                <w:rFonts w:hint="eastAsia"/>
                <w:iCs/>
              </w:rPr>
              <w:t>），易燃混合物的试验装置（图</w:t>
            </w:r>
            <w:r>
              <w:rPr>
                <w:iCs/>
              </w:rPr>
              <w:t>G.7</w:t>
            </w:r>
            <w:r>
              <w:rPr>
                <w:rFonts w:hint="eastAsia"/>
                <w:iCs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G.4.3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静电预防</w:t>
            </w:r>
          </w:p>
        </w:tc>
        <w:tc>
          <w:tcPr>
            <w:tcW w:w="5670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按</w:t>
            </w:r>
            <w:r>
              <w:rPr>
                <w:bCs/>
              </w:rPr>
              <w:t>ISO 2882</w:t>
            </w:r>
            <w:r>
              <w:rPr>
                <w:rFonts w:hint="eastAsia"/>
                <w:bCs/>
              </w:rPr>
              <w:t>进行抗静电材料测试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>
            <w:pPr>
              <w:pStyle w:val="73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L</w:t>
            </w:r>
          </w:p>
        </w:tc>
        <w:tc>
          <w:tcPr>
            <w:tcW w:w="5386" w:type="dxa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未使用衬垫绝缘的绕组线</w:t>
            </w:r>
          </w:p>
        </w:tc>
        <w:tc>
          <w:tcPr>
            <w:tcW w:w="5670" w:type="dxa"/>
          </w:tcPr>
          <w:p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>试样按</w:t>
            </w:r>
            <w:r>
              <w:rPr>
                <w:iCs/>
              </w:rPr>
              <w:t>IEC 60851-5</w:t>
            </w:r>
            <w:r>
              <w:rPr>
                <w:rFonts w:hint="eastAsia"/>
                <w:iCs/>
              </w:rPr>
              <w:t>（GB/T 4074.5）的要求进行准备，并按</w:t>
            </w:r>
            <w:r>
              <w:rPr>
                <w:iCs/>
              </w:rPr>
              <w:t>GB 9706.1</w:t>
            </w:r>
            <w:r>
              <w:rPr>
                <w:rFonts w:hint="eastAsia"/>
                <w:iCs/>
              </w:rPr>
              <w:t>进行电介质强度试验；按</w:t>
            </w:r>
            <w:r>
              <w:rPr>
                <w:iCs/>
              </w:rPr>
              <w:t>IEC 60851-3</w:t>
            </w:r>
            <w:r>
              <w:rPr>
                <w:rFonts w:hint="eastAsia"/>
                <w:iCs/>
              </w:rPr>
              <w:t>(GB/T 4074.3)中试验方法</w:t>
            </w:r>
            <w:r>
              <w:rPr>
                <w:iCs/>
              </w:rPr>
              <w:t>8</w:t>
            </w:r>
            <w:r>
              <w:rPr>
                <w:rFonts w:hint="eastAsia"/>
                <w:iCs/>
              </w:rPr>
              <w:t>进行柔韧性和附着性试验；线轴直径按表</w:t>
            </w:r>
            <w:r>
              <w:rPr>
                <w:iCs/>
              </w:rPr>
              <w:t>L.1</w:t>
            </w:r>
            <w:r>
              <w:rPr>
                <w:rFonts w:hint="eastAsia"/>
                <w:iCs/>
              </w:rPr>
              <w:t>；按</w:t>
            </w:r>
            <w:r>
              <w:rPr>
                <w:iCs/>
              </w:rPr>
              <w:t>IEC 60851-6(GB/T 4074.6)</w:t>
            </w:r>
            <w:r>
              <w:rPr>
                <w:rFonts w:hint="eastAsia"/>
                <w:iCs/>
              </w:rPr>
              <w:t>中试验方法</w:t>
            </w:r>
            <w:r>
              <w:rPr>
                <w:iCs/>
              </w:rPr>
              <w:t>9</w:t>
            </w:r>
            <w:r>
              <w:rPr>
                <w:rFonts w:hint="eastAsia"/>
                <w:iCs/>
              </w:rPr>
              <w:t>进行热冲击试验；直径</w:t>
            </w:r>
            <w:r>
              <w:rPr>
                <w:iCs/>
              </w:rPr>
              <w:t>2mm</w:t>
            </w:r>
            <w:r>
              <w:rPr>
                <w:rFonts w:hint="eastAsia"/>
                <w:iCs/>
              </w:rPr>
              <w:t>的不锈钢粒，镍粒或镀镍铁粒</w:t>
            </w:r>
          </w:p>
        </w:tc>
      </w:tr>
    </w:tbl>
    <w:p>
      <w:pPr>
        <w:jc w:val="left"/>
      </w:pPr>
      <w:r>
        <w:rPr>
          <w:rFonts w:hint="eastAsia"/>
        </w:rPr>
        <w:t>注：表格中的图号是对应GB9706.1-2020标准中的图号。</w:t>
      </w:r>
    </w:p>
    <w:sectPr>
      <w:pgSz w:w="16838" w:h="11906" w:orient="landscape"/>
      <w:pgMar w:top="851" w:right="1418" w:bottom="1701" w:left="1418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old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62A85"/>
    <w:multiLevelType w:val="singleLevel"/>
    <w:tmpl w:val="03A62A85"/>
    <w:lvl w:ilvl="0" w:tentative="0">
      <w:start w:val="1"/>
      <w:numFmt w:val="lowerLetter"/>
      <w:pStyle w:val="44"/>
      <w:lvlText w:val="%1)"/>
      <w:lvlJc w:val="left"/>
      <w:pPr>
        <w:tabs>
          <w:tab w:val="left" w:pos="1361"/>
        </w:tabs>
        <w:ind w:left="1361" w:hanging="340"/>
      </w:pPr>
      <w:rPr>
        <w:rFonts w:hint="default" w:cs="Times New Roman"/>
      </w:rPr>
    </w:lvl>
  </w:abstractNum>
  <w:abstractNum w:abstractNumId="1">
    <w:nsid w:val="0A0F21B5"/>
    <w:multiLevelType w:val="multilevel"/>
    <w:tmpl w:val="0A0F21B5"/>
    <w:lvl w:ilvl="0" w:tentative="0">
      <w:start w:val="1"/>
      <w:numFmt w:val="upperLetter"/>
      <w:pStyle w:val="143"/>
      <w:suff w:val="nothing"/>
      <w:lvlText w:val="Annex %1"/>
      <w:lvlJc w:val="center"/>
      <w:pPr>
        <w:ind w:firstLine="510"/>
      </w:pPr>
      <w:rPr>
        <w:rFonts w:hint="default" w:cs="Times New Roman"/>
      </w:rPr>
    </w:lvl>
    <w:lvl w:ilvl="1" w:tentative="0">
      <w:start w:val="1"/>
      <w:numFmt w:val="decimal"/>
      <w:pStyle w:val="144"/>
      <w:lvlText w:val="%1.%2"/>
      <w:lvlJc w:val="left"/>
      <w:pPr>
        <w:tabs>
          <w:tab w:val="left" w:pos="680"/>
        </w:tabs>
        <w:ind w:left="680" w:hanging="680"/>
      </w:pPr>
      <w:rPr>
        <w:rFonts w:hint="default" w:cs="Times New Roman"/>
      </w:rPr>
    </w:lvl>
    <w:lvl w:ilvl="2" w:tentative="0">
      <w:start w:val="1"/>
      <w:numFmt w:val="decimal"/>
      <w:pStyle w:val="155"/>
      <w:lvlText w:val="%1.%2.%3"/>
      <w:lvlJc w:val="left"/>
      <w:pPr>
        <w:tabs>
          <w:tab w:val="left" w:pos="907"/>
        </w:tabs>
        <w:ind w:left="907" w:hanging="907"/>
      </w:pPr>
      <w:rPr>
        <w:rFonts w:hint="default" w:cs="Times New Roman"/>
      </w:rPr>
    </w:lvl>
    <w:lvl w:ilvl="3" w:tentative="0">
      <w:start w:val="1"/>
      <w:numFmt w:val="decimal"/>
      <w:pStyle w:val="156"/>
      <w:lvlText w:val="%1.%2.%3.%4"/>
      <w:lvlJc w:val="left"/>
      <w:pPr>
        <w:tabs>
          <w:tab w:val="left" w:pos="1134"/>
        </w:tabs>
        <w:ind w:left="1134" w:hanging="1134"/>
      </w:pPr>
      <w:rPr>
        <w:rFonts w:hint="default" w:cs="Times New Roman"/>
      </w:rPr>
    </w:lvl>
    <w:lvl w:ilvl="4" w:tentative="0">
      <w:start w:val="1"/>
      <w:numFmt w:val="decimal"/>
      <w:pStyle w:val="157"/>
      <w:lvlText w:val="%1.%2.%3.%4.%5"/>
      <w:lvlJc w:val="left"/>
      <w:pPr>
        <w:tabs>
          <w:tab w:val="left" w:pos="1361"/>
        </w:tabs>
        <w:ind w:left="1361" w:hanging="1361"/>
      </w:pPr>
      <w:rPr>
        <w:rFonts w:hint="default" w:cs="Times New Roman"/>
      </w:rPr>
    </w:lvl>
    <w:lvl w:ilvl="5" w:tentative="0">
      <w:start w:val="1"/>
      <w:numFmt w:val="decimal"/>
      <w:pStyle w:val="158"/>
      <w:lvlText w:val="%1.%2.%3.%4.%5.%6"/>
      <w:lvlJc w:val="left"/>
      <w:pPr>
        <w:tabs>
          <w:tab w:val="left" w:pos="1588"/>
        </w:tabs>
        <w:ind w:left="1588" w:hanging="1588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54"/>
        </w:tabs>
        <w:ind w:firstLine="454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54"/>
        </w:tabs>
        <w:ind w:firstLine="454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54"/>
        </w:tabs>
        <w:ind w:firstLine="454"/>
      </w:pPr>
      <w:rPr>
        <w:rFonts w:hint="default" w:cs="Times New Roman"/>
      </w:rPr>
    </w:lvl>
  </w:abstractNum>
  <w:abstractNum w:abstractNumId="2">
    <w:nsid w:val="0A452867"/>
    <w:multiLevelType w:val="singleLevel"/>
    <w:tmpl w:val="0A452867"/>
    <w:lvl w:ilvl="0" w:tentative="0">
      <w:start w:val="1"/>
      <w:numFmt w:val="bullet"/>
      <w:pStyle w:val="22"/>
      <w:lvlText w:val=""/>
      <w:lvlJc w:val="left"/>
      <w:pPr>
        <w:tabs>
          <w:tab w:val="left" w:pos="700"/>
        </w:tabs>
        <w:ind w:left="700" w:hanging="360"/>
      </w:pPr>
      <w:rPr>
        <w:rFonts w:hint="default" w:ascii="Symbol" w:hAnsi="Symbol"/>
      </w:rPr>
    </w:lvl>
  </w:abstractNum>
  <w:abstractNum w:abstractNumId="3">
    <w:nsid w:val="0BAB497D"/>
    <w:multiLevelType w:val="multilevel"/>
    <w:tmpl w:val="0BAB497D"/>
    <w:lvl w:ilvl="0" w:tentative="0">
      <w:start w:val="1"/>
      <w:numFmt w:val="decimal"/>
      <w:pStyle w:val="179"/>
      <w:lvlText w:val="[%1]"/>
      <w:lvlJc w:val="left"/>
      <w:pPr>
        <w:tabs>
          <w:tab w:val="left" w:pos="680"/>
        </w:tabs>
        <w:ind w:left="680" w:hanging="68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DD1DEC"/>
    <w:multiLevelType w:val="multilevel"/>
    <w:tmpl w:val="18DD1DEC"/>
    <w:lvl w:ilvl="0" w:tentative="0">
      <w:start w:val="1"/>
      <w:numFmt w:val="bullet"/>
      <w:pStyle w:val="167"/>
      <w:lvlText w:val="–"/>
      <w:lvlJc w:val="left"/>
      <w:pPr>
        <w:tabs>
          <w:tab w:val="left" w:pos="340"/>
        </w:tabs>
        <w:ind w:left="340" w:hanging="34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A6411C8"/>
    <w:multiLevelType w:val="multilevel"/>
    <w:tmpl w:val="1A6411C8"/>
    <w:lvl w:ilvl="0" w:tentative="0">
      <w:start w:val="1"/>
      <w:numFmt w:val="bullet"/>
      <w:pStyle w:val="165"/>
      <w:lvlText w:val="–"/>
      <w:lvlJc w:val="left"/>
      <w:pPr>
        <w:tabs>
          <w:tab w:val="left" w:pos="680"/>
        </w:tabs>
        <w:ind w:left="680" w:hanging="34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tabs>
          <w:tab w:val="left" w:pos="1780"/>
        </w:tabs>
        <w:ind w:left="17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500"/>
        </w:tabs>
        <w:ind w:left="25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20"/>
        </w:tabs>
        <w:ind w:left="32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40"/>
        </w:tabs>
        <w:ind w:left="39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660"/>
        </w:tabs>
        <w:ind w:left="46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80"/>
        </w:tabs>
        <w:ind w:left="53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00"/>
        </w:tabs>
        <w:ind w:left="61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820"/>
        </w:tabs>
        <w:ind w:left="6820" w:hanging="360"/>
      </w:pPr>
      <w:rPr>
        <w:rFonts w:hint="default" w:ascii="Wingdings" w:hAnsi="Wingdings"/>
      </w:rPr>
    </w:lvl>
  </w:abstractNum>
  <w:abstractNum w:abstractNumId="6">
    <w:nsid w:val="291723D4"/>
    <w:multiLevelType w:val="singleLevel"/>
    <w:tmpl w:val="291723D4"/>
    <w:lvl w:ilvl="0" w:tentative="0">
      <w:start w:val="1"/>
      <w:numFmt w:val="lowerRoman"/>
      <w:pStyle w:val="35"/>
      <w:lvlText w:val="%1)"/>
      <w:lvlJc w:val="left"/>
      <w:pPr>
        <w:tabs>
          <w:tab w:val="left" w:pos="1021"/>
        </w:tabs>
        <w:ind w:left="1021" w:hanging="341"/>
      </w:pPr>
      <w:rPr>
        <w:rFonts w:hint="default" w:cs="Times New Roman"/>
      </w:rPr>
    </w:lvl>
  </w:abstractNum>
  <w:abstractNum w:abstractNumId="7">
    <w:nsid w:val="31F959E3"/>
    <w:multiLevelType w:val="singleLevel"/>
    <w:tmpl w:val="31F959E3"/>
    <w:lvl w:ilvl="0" w:tentative="0">
      <w:start w:val="1"/>
      <w:numFmt w:val="decimal"/>
      <w:pStyle w:val="17"/>
      <w:lvlText w:val="%1)"/>
      <w:lvlJc w:val="left"/>
      <w:pPr>
        <w:tabs>
          <w:tab w:val="left" w:pos="680"/>
        </w:tabs>
        <w:ind w:left="680" w:hanging="323"/>
      </w:pPr>
      <w:rPr>
        <w:rFonts w:hint="default" w:cs="Times New Roman"/>
      </w:rPr>
    </w:lvl>
  </w:abstractNum>
  <w:abstractNum w:abstractNumId="8">
    <w:nsid w:val="36FF1519"/>
    <w:multiLevelType w:val="singleLevel"/>
    <w:tmpl w:val="36FF1519"/>
    <w:lvl w:ilvl="0" w:tentative="0">
      <w:start w:val="1"/>
      <w:numFmt w:val="lowerLetter"/>
      <w:pStyle w:val="18"/>
      <w:lvlText w:val="%1)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9">
    <w:nsid w:val="476C35D0"/>
    <w:multiLevelType w:val="multilevel"/>
    <w:tmpl w:val="476C35D0"/>
    <w:lvl w:ilvl="0" w:tentative="0">
      <w:start w:val="1"/>
      <w:numFmt w:val="lowerLetter"/>
      <w:pStyle w:val="130"/>
      <w:lvlText w:val="%1)"/>
      <w:lvlJc w:val="left"/>
      <w:pPr>
        <w:ind w:left="1431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2151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871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591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4311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5031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751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471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7191" w:hanging="180"/>
      </w:pPr>
      <w:rPr>
        <w:rFonts w:cs="Times New Roman"/>
      </w:rPr>
    </w:lvl>
  </w:abstractNum>
  <w:abstractNum w:abstractNumId="10">
    <w:nsid w:val="4DC42EF7"/>
    <w:multiLevelType w:val="multilevel"/>
    <w:tmpl w:val="4DC42EF7"/>
    <w:lvl w:ilvl="0" w:tentative="0">
      <w:start w:val="1"/>
      <w:numFmt w:val="decimal"/>
      <w:pStyle w:val="180"/>
      <w:lvlText w:val="%1)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pStyle w:val="181"/>
      <w:lvlText w:val="%2)"/>
      <w:lvlJc w:val="left"/>
      <w:pPr>
        <w:ind w:left="680" w:hanging="320"/>
      </w:pPr>
      <w:rPr>
        <w:rFonts w:hint="default" w:cs="Times New Roman"/>
      </w:rPr>
    </w:lvl>
    <w:lvl w:ilvl="2" w:tentative="0">
      <w:start w:val="1"/>
      <w:numFmt w:val="lowerRoman"/>
      <w:pStyle w:val="182"/>
      <w:lvlText w:val="%3)"/>
      <w:lvlJc w:val="left"/>
      <w:pPr>
        <w:ind w:left="1080" w:hanging="360"/>
      </w:pPr>
      <w:rPr>
        <w:rFonts w:hint="default" w:cs="Times New Roman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 w:cs="Times New Roman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 w:cs="Times New Roman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11">
    <w:nsid w:val="51C52760"/>
    <w:multiLevelType w:val="singleLevel"/>
    <w:tmpl w:val="51C52760"/>
    <w:lvl w:ilvl="0" w:tentative="0">
      <w:start w:val="1"/>
      <w:numFmt w:val="decimal"/>
      <w:pStyle w:val="60"/>
      <w:lvlText w:val="%1)"/>
      <w:lvlJc w:val="left"/>
      <w:pPr>
        <w:tabs>
          <w:tab w:val="left" w:pos="1701"/>
        </w:tabs>
        <w:ind w:left="1701" w:hanging="340"/>
      </w:pPr>
      <w:rPr>
        <w:rFonts w:hint="default" w:cs="Times New Roman"/>
      </w:rPr>
    </w:lvl>
  </w:abstractNum>
  <w:abstractNum w:abstractNumId="12">
    <w:nsid w:val="54435571"/>
    <w:multiLevelType w:val="multilevel"/>
    <w:tmpl w:val="54435571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5EC901DF"/>
    <w:multiLevelType w:val="singleLevel"/>
    <w:tmpl w:val="5EC901DF"/>
    <w:lvl w:ilvl="0" w:tentative="0">
      <w:start w:val="1"/>
      <w:numFmt w:val="bullet"/>
      <w:pStyle w:val="161"/>
      <w:lvlText w:val="–"/>
      <w:lvlJc w:val="left"/>
      <w:pPr>
        <w:tabs>
          <w:tab w:val="left" w:pos="340"/>
        </w:tabs>
        <w:ind w:left="340" w:hanging="340"/>
      </w:pPr>
      <w:rPr>
        <w:rFonts w:hint="default" w:ascii="Arial" w:hAnsi="Arial"/>
      </w:rPr>
    </w:lvl>
  </w:abstractNum>
  <w:abstractNum w:abstractNumId="14">
    <w:nsid w:val="6578005B"/>
    <w:multiLevelType w:val="multilevel"/>
    <w:tmpl w:val="6578005B"/>
    <w:lvl w:ilvl="0" w:tentative="0">
      <w:start w:val="1"/>
      <w:numFmt w:val="bullet"/>
      <w:pStyle w:val="131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6B00A8C"/>
    <w:multiLevelType w:val="multilevel"/>
    <w:tmpl w:val="76B00A8C"/>
    <w:lvl w:ilvl="0" w:tentative="0">
      <w:start w:val="1"/>
      <w:numFmt w:val="bullet"/>
      <w:pStyle w:val="168"/>
      <w:lvlText w:val="–"/>
      <w:lvlJc w:val="left"/>
      <w:pPr>
        <w:tabs>
          <w:tab w:val="left" w:pos="1361"/>
        </w:tabs>
        <w:ind w:left="1361" w:hanging="34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tabs>
          <w:tab w:val="left" w:pos="2461"/>
        </w:tabs>
        <w:ind w:left="2461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3181"/>
        </w:tabs>
        <w:ind w:left="318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901"/>
        </w:tabs>
        <w:ind w:left="390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621"/>
        </w:tabs>
        <w:ind w:left="4621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341"/>
        </w:tabs>
        <w:ind w:left="534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061"/>
        </w:tabs>
        <w:ind w:left="606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781"/>
        </w:tabs>
        <w:ind w:left="6781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501"/>
        </w:tabs>
        <w:ind w:left="7501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0"/>
  </w:num>
  <w:num w:numId="7">
    <w:abstractNumId w:val="11"/>
  </w:num>
  <w:num w:numId="8">
    <w:abstractNumId w:val="9"/>
  </w:num>
  <w:num w:numId="9">
    <w:abstractNumId w:val="14"/>
  </w:num>
  <w:num w:numId="10">
    <w:abstractNumId w:val="1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9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2"/>
  </w:compat>
  <w:docVars>
    <w:docVar w:name="commondata" w:val="eyJoZGlkIjoiM2Y2OTQwMjllZDQzZjE3OWQxZjUxZjhlNTAzZGQ5MGEifQ=="/>
  </w:docVars>
  <w:rsids>
    <w:rsidRoot w:val="00E230DD"/>
    <w:rsid w:val="00014EA7"/>
    <w:rsid w:val="00017C92"/>
    <w:rsid w:val="00024323"/>
    <w:rsid w:val="0003207E"/>
    <w:rsid w:val="0004268C"/>
    <w:rsid w:val="00043BB3"/>
    <w:rsid w:val="00045A2D"/>
    <w:rsid w:val="000472ED"/>
    <w:rsid w:val="0004791E"/>
    <w:rsid w:val="0004793E"/>
    <w:rsid w:val="00050D66"/>
    <w:rsid w:val="00052BA4"/>
    <w:rsid w:val="00055E49"/>
    <w:rsid w:val="0005629D"/>
    <w:rsid w:val="0006076A"/>
    <w:rsid w:val="00062C8A"/>
    <w:rsid w:val="00063631"/>
    <w:rsid w:val="00063705"/>
    <w:rsid w:val="00070171"/>
    <w:rsid w:val="00072C36"/>
    <w:rsid w:val="00076B09"/>
    <w:rsid w:val="00084036"/>
    <w:rsid w:val="000925E0"/>
    <w:rsid w:val="00094A1E"/>
    <w:rsid w:val="000A0AA3"/>
    <w:rsid w:val="000A4EAD"/>
    <w:rsid w:val="000B2992"/>
    <w:rsid w:val="000B6CC7"/>
    <w:rsid w:val="000C038A"/>
    <w:rsid w:val="000C74AB"/>
    <w:rsid w:val="000C7D59"/>
    <w:rsid w:val="000D48CA"/>
    <w:rsid w:val="000E0BC5"/>
    <w:rsid w:val="000E3B72"/>
    <w:rsid w:val="000E41DA"/>
    <w:rsid w:val="000E51D6"/>
    <w:rsid w:val="00107DF4"/>
    <w:rsid w:val="00112FD1"/>
    <w:rsid w:val="0011692B"/>
    <w:rsid w:val="001178A8"/>
    <w:rsid w:val="001305EA"/>
    <w:rsid w:val="001307F6"/>
    <w:rsid w:val="00142D9C"/>
    <w:rsid w:val="001455D2"/>
    <w:rsid w:val="001536D0"/>
    <w:rsid w:val="00155B0F"/>
    <w:rsid w:val="0016236D"/>
    <w:rsid w:val="0016746C"/>
    <w:rsid w:val="001676AE"/>
    <w:rsid w:val="00172CE7"/>
    <w:rsid w:val="0017522C"/>
    <w:rsid w:val="00182317"/>
    <w:rsid w:val="001921B3"/>
    <w:rsid w:val="0019791C"/>
    <w:rsid w:val="001A092F"/>
    <w:rsid w:val="001A5BE9"/>
    <w:rsid w:val="001C0924"/>
    <w:rsid w:val="001C22AB"/>
    <w:rsid w:val="001C2D6D"/>
    <w:rsid w:val="001D5AA2"/>
    <w:rsid w:val="001D719B"/>
    <w:rsid w:val="001D7E91"/>
    <w:rsid w:val="001E0E03"/>
    <w:rsid w:val="001E59ED"/>
    <w:rsid w:val="001E6E9A"/>
    <w:rsid w:val="001F7FEA"/>
    <w:rsid w:val="00200551"/>
    <w:rsid w:val="00201F6D"/>
    <w:rsid w:val="00205D3B"/>
    <w:rsid w:val="00211E7B"/>
    <w:rsid w:val="00215132"/>
    <w:rsid w:val="00216A32"/>
    <w:rsid w:val="002454B4"/>
    <w:rsid w:val="00261E9F"/>
    <w:rsid w:val="0026233F"/>
    <w:rsid w:val="002627C9"/>
    <w:rsid w:val="00266C0A"/>
    <w:rsid w:val="00273BB2"/>
    <w:rsid w:val="00284640"/>
    <w:rsid w:val="002B122B"/>
    <w:rsid w:val="002D21D8"/>
    <w:rsid w:val="002E1EAD"/>
    <w:rsid w:val="002E4DE9"/>
    <w:rsid w:val="002F6E15"/>
    <w:rsid w:val="00312A7C"/>
    <w:rsid w:val="00313D74"/>
    <w:rsid w:val="00341FCD"/>
    <w:rsid w:val="003525C5"/>
    <w:rsid w:val="00352BFD"/>
    <w:rsid w:val="0035601D"/>
    <w:rsid w:val="00366F18"/>
    <w:rsid w:val="003727B8"/>
    <w:rsid w:val="00390D32"/>
    <w:rsid w:val="00393729"/>
    <w:rsid w:val="003A2AA1"/>
    <w:rsid w:val="003A487D"/>
    <w:rsid w:val="003A5189"/>
    <w:rsid w:val="003D478D"/>
    <w:rsid w:val="003D489A"/>
    <w:rsid w:val="003E18E7"/>
    <w:rsid w:val="003F2E91"/>
    <w:rsid w:val="0041563C"/>
    <w:rsid w:val="00440B06"/>
    <w:rsid w:val="00440B09"/>
    <w:rsid w:val="004430A3"/>
    <w:rsid w:val="004455EF"/>
    <w:rsid w:val="0046084A"/>
    <w:rsid w:val="00470C66"/>
    <w:rsid w:val="00472780"/>
    <w:rsid w:val="00475FB0"/>
    <w:rsid w:val="00484E7E"/>
    <w:rsid w:val="004A18CC"/>
    <w:rsid w:val="004A18D6"/>
    <w:rsid w:val="004A1993"/>
    <w:rsid w:val="004A1D96"/>
    <w:rsid w:val="004A26A1"/>
    <w:rsid w:val="004B37F1"/>
    <w:rsid w:val="004B7E04"/>
    <w:rsid w:val="004D3EA2"/>
    <w:rsid w:val="004D5503"/>
    <w:rsid w:val="004F0137"/>
    <w:rsid w:val="00522EC1"/>
    <w:rsid w:val="005365FC"/>
    <w:rsid w:val="00540558"/>
    <w:rsid w:val="0054235D"/>
    <w:rsid w:val="0054377D"/>
    <w:rsid w:val="00563FCD"/>
    <w:rsid w:val="00571DF9"/>
    <w:rsid w:val="0059575E"/>
    <w:rsid w:val="005C0D73"/>
    <w:rsid w:val="005C71B9"/>
    <w:rsid w:val="006023C3"/>
    <w:rsid w:val="00603DAF"/>
    <w:rsid w:val="0060782F"/>
    <w:rsid w:val="00630554"/>
    <w:rsid w:val="0063168D"/>
    <w:rsid w:val="00642519"/>
    <w:rsid w:val="00642F8B"/>
    <w:rsid w:val="00643406"/>
    <w:rsid w:val="00644686"/>
    <w:rsid w:val="0065135D"/>
    <w:rsid w:val="006604C4"/>
    <w:rsid w:val="00667B06"/>
    <w:rsid w:val="00680ABD"/>
    <w:rsid w:val="00687200"/>
    <w:rsid w:val="00697D2D"/>
    <w:rsid w:val="006A4628"/>
    <w:rsid w:val="006B43CD"/>
    <w:rsid w:val="006B4BE7"/>
    <w:rsid w:val="006C3282"/>
    <w:rsid w:val="006D0681"/>
    <w:rsid w:val="006F790B"/>
    <w:rsid w:val="006F7987"/>
    <w:rsid w:val="007019AF"/>
    <w:rsid w:val="00703220"/>
    <w:rsid w:val="00727F41"/>
    <w:rsid w:val="007361AD"/>
    <w:rsid w:val="0074626C"/>
    <w:rsid w:val="007538F9"/>
    <w:rsid w:val="00763A93"/>
    <w:rsid w:val="00764FAA"/>
    <w:rsid w:val="007755BF"/>
    <w:rsid w:val="00785A04"/>
    <w:rsid w:val="00787020"/>
    <w:rsid w:val="007A144F"/>
    <w:rsid w:val="007B0C91"/>
    <w:rsid w:val="007C7415"/>
    <w:rsid w:val="007D312F"/>
    <w:rsid w:val="007D3A07"/>
    <w:rsid w:val="007D454F"/>
    <w:rsid w:val="007D5AF9"/>
    <w:rsid w:val="007D7798"/>
    <w:rsid w:val="007E32F3"/>
    <w:rsid w:val="007E6FE1"/>
    <w:rsid w:val="007F09F6"/>
    <w:rsid w:val="007F1C19"/>
    <w:rsid w:val="007F2A8E"/>
    <w:rsid w:val="007F3EE6"/>
    <w:rsid w:val="00804825"/>
    <w:rsid w:val="00810046"/>
    <w:rsid w:val="0081179C"/>
    <w:rsid w:val="00812277"/>
    <w:rsid w:val="00820DA6"/>
    <w:rsid w:val="008214A9"/>
    <w:rsid w:val="00825191"/>
    <w:rsid w:val="0082605E"/>
    <w:rsid w:val="00836289"/>
    <w:rsid w:val="00840A21"/>
    <w:rsid w:val="00846122"/>
    <w:rsid w:val="008569AA"/>
    <w:rsid w:val="00860B91"/>
    <w:rsid w:val="00862284"/>
    <w:rsid w:val="00866BB4"/>
    <w:rsid w:val="00880C54"/>
    <w:rsid w:val="00881B42"/>
    <w:rsid w:val="00885CCC"/>
    <w:rsid w:val="00887D6C"/>
    <w:rsid w:val="00892B77"/>
    <w:rsid w:val="008B3801"/>
    <w:rsid w:val="008C68C4"/>
    <w:rsid w:val="008D5C3B"/>
    <w:rsid w:val="008E54F8"/>
    <w:rsid w:val="00900B2C"/>
    <w:rsid w:val="009145F0"/>
    <w:rsid w:val="00914D33"/>
    <w:rsid w:val="00915175"/>
    <w:rsid w:val="00930834"/>
    <w:rsid w:val="00945A12"/>
    <w:rsid w:val="009544F9"/>
    <w:rsid w:val="00965D54"/>
    <w:rsid w:val="009664F6"/>
    <w:rsid w:val="009707ED"/>
    <w:rsid w:val="00974CC7"/>
    <w:rsid w:val="0098710C"/>
    <w:rsid w:val="009957B3"/>
    <w:rsid w:val="009A773F"/>
    <w:rsid w:val="009B5D9C"/>
    <w:rsid w:val="009C34B8"/>
    <w:rsid w:val="009F1D80"/>
    <w:rsid w:val="00A146CE"/>
    <w:rsid w:val="00A14845"/>
    <w:rsid w:val="00A14922"/>
    <w:rsid w:val="00A1554B"/>
    <w:rsid w:val="00A22C13"/>
    <w:rsid w:val="00A22FCE"/>
    <w:rsid w:val="00A25B23"/>
    <w:rsid w:val="00A30E2C"/>
    <w:rsid w:val="00A43783"/>
    <w:rsid w:val="00A52064"/>
    <w:rsid w:val="00A5592C"/>
    <w:rsid w:val="00A571A5"/>
    <w:rsid w:val="00A916EE"/>
    <w:rsid w:val="00AA51B4"/>
    <w:rsid w:val="00AA71BE"/>
    <w:rsid w:val="00AC4C1F"/>
    <w:rsid w:val="00AD184A"/>
    <w:rsid w:val="00AD23DB"/>
    <w:rsid w:val="00AD2459"/>
    <w:rsid w:val="00AD387A"/>
    <w:rsid w:val="00AD7A02"/>
    <w:rsid w:val="00AF1795"/>
    <w:rsid w:val="00AF1ED0"/>
    <w:rsid w:val="00AF6146"/>
    <w:rsid w:val="00AF7681"/>
    <w:rsid w:val="00B04C0D"/>
    <w:rsid w:val="00B134A7"/>
    <w:rsid w:val="00B14D65"/>
    <w:rsid w:val="00B2244E"/>
    <w:rsid w:val="00B2799D"/>
    <w:rsid w:val="00B3088A"/>
    <w:rsid w:val="00B30F49"/>
    <w:rsid w:val="00B3292B"/>
    <w:rsid w:val="00B34E53"/>
    <w:rsid w:val="00B42A75"/>
    <w:rsid w:val="00B44B2F"/>
    <w:rsid w:val="00B44E87"/>
    <w:rsid w:val="00B5451B"/>
    <w:rsid w:val="00B66B5D"/>
    <w:rsid w:val="00B716C7"/>
    <w:rsid w:val="00B73B2A"/>
    <w:rsid w:val="00B81E58"/>
    <w:rsid w:val="00B83C3B"/>
    <w:rsid w:val="00B84B22"/>
    <w:rsid w:val="00B90133"/>
    <w:rsid w:val="00B94A9A"/>
    <w:rsid w:val="00BA4940"/>
    <w:rsid w:val="00BA6006"/>
    <w:rsid w:val="00BA73FC"/>
    <w:rsid w:val="00BB20CC"/>
    <w:rsid w:val="00BB6462"/>
    <w:rsid w:val="00BC3D15"/>
    <w:rsid w:val="00BC64DE"/>
    <w:rsid w:val="00BD0D7A"/>
    <w:rsid w:val="00BE0932"/>
    <w:rsid w:val="00BE218A"/>
    <w:rsid w:val="00C261B1"/>
    <w:rsid w:val="00C422C6"/>
    <w:rsid w:val="00C51073"/>
    <w:rsid w:val="00C53C4C"/>
    <w:rsid w:val="00C550BA"/>
    <w:rsid w:val="00C56AEB"/>
    <w:rsid w:val="00C61ADC"/>
    <w:rsid w:val="00C63763"/>
    <w:rsid w:val="00C71FE2"/>
    <w:rsid w:val="00C86157"/>
    <w:rsid w:val="00C86EB8"/>
    <w:rsid w:val="00C965CA"/>
    <w:rsid w:val="00CB1737"/>
    <w:rsid w:val="00CC2C72"/>
    <w:rsid w:val="00CD667F"/>
    <w:rsid w:val="00CE1915"/>
    <w:rsid w:val="00CF301B"/>
    <w:rsid w:val="00D02B37"/>
    <w:rsid w:val="00D1357A"/>
    <w:rsid w:val="00D32460"/>
    <w:rsid w:val="00D3318B"/>
    <w:rsid w:val="00D36B6B"/>
    <w:rsid w:val="00D5222A"/>
    <w:rsid w:val="00D6121D"/>
    <w:rsid w:val="00D74029"/>
    <w:rsid w:val="00D85A50"/>
    <w:rsid w:val="00D86307"/>
    <w:rsid w:val="00D9114B"/>
    <w:rsid w:val="00D97EA9"/>
    <w:rsid w:val="00DA137E"/>
    <w:rsid w:val="00DB174C"/>
    <w:rsid w:val="00DC1DAB"/>
    <w:rsid w:val="00DF079E"/>
    <w:rsid w:val="00DF10AC"/>
    <w:rsid w:val="00DF4925"/>
    <w:rsid w:val="00E0150B"/>
    <w:rsid w:val="00E020B9"/>
    <w:rsid w:val="00E04646"/>
    <w:rsid w:val="00E11C80"/>
    <w:rsid w:val="00E157B6"/>
    <w:rsid w:val="00E2089C"/>
    <w:rsid w:val="00E230DD"/>
    <w:rsid w:val="00E23F00"/>
    <w:rsid w:val="00E269B1"/>
    <w:rsid w:val="00E31C94"/>
    <w:rsid w:val="00E423CE"/>
    <w:rsid w:val="00E42A86"/>
    <w:rsid w:val="00E46868"/>
    <w:rsid w:val="00E53881"/>
    <w:rsid w:val="00E6160E"/>
    <w:rsid w:val="00E87896"/>
    <w:rsid w:val="00E97DF1"/>
    <w:rsid w:val="00EA0349"/>
    <w:rsid w:val="00EA1EC0"/>
    <w:rsid w:val="00EB0829"/>
    <w:rsid w:val="00EB193D"/>
    <w:rsid w:val="00EB4D8B"/>
    <w:rsid w:val="00EC180F"/>
    <w:rsid w:val="00EC7AA6"/>
    <w:rsid w:val="00ED0EE3"/>
    <w:rsid w:val="00ED188E"/>
    <w:rsid w:val="00EE5190"/>
    <w:rsid w:val="00EF09EC"/>
    <w:rsid w:val="00EF651E"/>
    <w:rsid w:val="00F00E1A"/>
    <w:rsid w:val="00F139DD"/>
    <w:rsid w:val="00F1623A"/>
    <w:rsid w:val="00F2107F"/>
    <w:rsid w:val="00F2361C"/>
    <w:rsid w:val="00F30638"/>
    <w:rsid w:val="00F41094"/>
    <w:rsid w:val="00F451E7"/>
    <w:rsid w:val="00F50D8D"/>
    <w:rsid w:val="00F601AC"/>
    <w:rsid w:val="00F60720"/>
    <w:rsid w:val="00F6319F"/>
    <w:rsid w:val="00F65857"/>
    <w:rsid w:val="00F7719B"/>
    <w:rsid w:val="00F959C4"/>
    <w:rsid w:val="00F96650"/>
    <w:rsid w:val="00FA259C"/>
    <w:rsid w:val="00FB2717"/>
    <w:rsid w:val="00FB35CC"/>
    <w:rsid w:val="00FC09CF"/>
    <w:rsid w:val="00FE2249"/>
    <w:rsid w:val="00FF0DA8"/>
    <w:rsid w:val="00FF412B"/>
    <w:rsid w:val="0C4675C5"/>
    <w:rsid w:val="4FF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name="index 1"/>
    <w:lsdException w:unhideWhenUsed="0" w:uiPriority="99" w:name="index 2"/>
    <w:lsdException w:qFormat="1" w:unhideWhenUsed="0" w:uiPriority="99" w:name="index 3"/>
    <w:lsdException w:qFormat="1" w:unhideWhenUsed="0" w:uiPriority="99" w:name="index 4"/>
    <w:lsdException w:qFormat="1" w:unhideWhenUsed="0" w:uiPriority="99" w:name="index 5"/>
    <w:lsdException w:qFormat="1" w:unhideWhenUsed="0" w:uiPriority="99" w:name="index 6"/>
    <w:lsdException w:unhideWhenUsed="0" w:uiPriority="99" w:name="index 7"/>
    <w:lsdException w:unhideWhenUsed="0" w:uiPriority="99" w:name="index 8"/>
    <w:lsdException w:qFormat="1" w:unhideWhenUsed="0"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qFormat="1" w:unhideWhenUsed="0" w:uiPriority="99" w:name="Normal Indent"/>
    <w:lsdException w:qFormat="1" w:unhideWhenUsed="0"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name="index heading"/>
    <w:lsdException w:qFormat="1" w:unhideWhenUsed="0" w:uiPriority="99" w:semiHidden="0" w:name="caption"/>
    <w:lsdException w:unhideWhenUsed="0" w:uiPriority="99" w:name="table of figures"/>
    <w:lsdException w:qFormat="1" w:unhideWhenUsed="0" w:uiPriority="99" w:name="envelope address"/>
    <w:lsdException w:qFormat="1" w:unhideWhenUsed="0" w:uiPriority="99" w:name="envelope return"/>
    <w:lsdException w:qFormat="1" w:unhideWhenUsed="0" w:uiPriority="99" w:name="footnote reference"/>
    <w:lsdException w:qFormat="1" w:unhideWhenUsed="0" w:uiPriority="99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unhideWhenUsed="0" w:uiPriority="99" w:name="endnote reference"/>
    <w:lsdException w:uiPriority="99" w:name="endnote text" w:locked="1"/>
    <w:lsdException w:unhideWhenUsed="0" w:uiPriority="99" w:name="table of authorities"/>
    <w:lsdException w:uiPriority="99" w:name="macro" w:locked="1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nhideWhenUsed="0" w:uiPriority="99" w:semiHidden="0" w:name="List Number 2"/>
    <w:lsdException w:qFormat="1"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name="Body Text"/>
    <w:lsdException w:qFormat="1" w:unhideWhenUsed="0" w:uiPriority="99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name="Body Text 2"/>
    <w:lsdException w:qFormat="1" w:unhideWhenUsed="0" w:uiPriority="99" w:name="Body Text 3"/>
    <w:lsdException w:qFormat="1" w:unhideWhenUsed="0" w:uiPriority="99" w:name="Body Text Indent 2"/>
    <w:lsdException w:qFormat="1" w:unhideWhenUsed="0" w:uiPriority="99" w:name="Body Text Indent 3"/>
    <w:lsdException w:qFormat="1" w:unhideWhenUsed="0" w:uiPriority="99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99" w:semiHidden="0" w:name="Table Grid"/>
    <w:lsdException w:uiPriority="99" w:name="Table Theme" w:locked="1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宋体" w:cs="Arial"/>
      <w:spacing w:val="8"/>
      <w:kern w:val="0"/>
      <w:sz w:val="20"/>
      <w:szCs w:val="20"/>
      <w:lang w:val="en-GB" w:eastAsia="zh-CN" w:bidi="ar-SA"/>
    </w:rPr>
  </w:style>
  <w:style w:type="paragraph" w:styleId="2">
    <w:name w:val="heading 1"/>
    <w:basedOn w:val="3"/>
    <w:next w:val="3"/>
    <w:link w:val="88"/>
    <w:qFormat/>
    <w:uiPriority w:val="99"/>
    <w:pPr>
      <w:keepNext/>
      <w:suppressAutoHyphens/>
      <w:spacing w:before="200"/>
      <w:jc w:val="left"/>
      <w:outlineLvl w:val="0"/>
    </w:pPr>
    <w:rPr>
      <w:b/>
      <w:bCs/>
    </w:rPr>
  </w:style>
  <w:style w:type="paragraph" w:styleId="4">
    <w:name w:val="heading 2"/>
    <w:basedOn w:val="2"/>
    <w:next w:val="3"/>
    <w:link w:val="89"/>
    <w:qFormat/>
    <w:uiPriority w:val="99"/>
    <w:pPr>
      <w:tabs>
        <w:tab w:val="left" w:pos="624"/>
        <w:tab w:val="left" w:pos="700"/>
      </w:tabs>
      <w:spacing w:before="100" w:after="100"/>
      <w:ind w:left="624" w:hanging="624"/>
      <w:outlineLvl w:val="1"/>
    </w:pPr>
    <w:rPr>
      <w:sz w:val="20"/>
      <w:szCs w:val="20"/>
    </w:rPr>
  </w:style>
  <w:style w:type="paragraph" w:styleId="5">
    <w:name w:val="heading 3"/>
    <w:basedOn w:val="4"/>
    <w:next w:val="3"/>
    <w:link w:val="90"/>
    <w:qFormat/>
    <w:uiPriority w:val="99"/>
    <w:pPr>
      <w:tabs>
        <w:tab w:val="left" w:pos="851"/>
      </w:tabs>
      <w:ind w:left="851" w:hanging="851"/>
      <w:outlineLvl w:val="2"/>
    </w:pPr>
  </w:style>
  <w:style w:type="paragraph" w:styleId="6">
    <w:name w:val="heading 4"/>
    <w:basedOn w:val="5"/>
    <w:next w:val="3"/>
    <w:link w:val="91"/>
    <w:qFormat/>
    <w:uiPriority w:val="99"/>
    <w:pPr>
      <w:tabs>
        <w:tab w:val="left" w:pos="1077"/>
        <w:tab w:val="clear" w:pos="851"/>
      </w:tabs>
      <w:ind w:left="1077" w:hanging="1077"/>
      <w:outlineLvl w:val="3"/>
    </w:pPr>
  </w:style>
  <w:style w:type="paragraph" w:styleId="7">
    <w:name w:val="heading 5"/>
    <w:basedOn w:val="6"/>
    <w:next w:val="3"/>
    <w:link w:val="92"/>
    <w:qFormat/>
    <w:uiPriority w:val="99"/>
    <w:pPr>
      <w:tabs>
        <w:tab w:val="left" w:pos="1304"/>
        <w:tab w:val="clear" w:pos="1077"/>
      </w:tabs>
      <w:ind w:left="1304" w:hanging="1304"/>
      <w:outlineLvl w:val="4"/>
    </w:pPr>
  </w:style>
  <w:style w:type="paragraph" w:styleId="8">
    <w:name w:val="heading 6"/>
    <w:basedOn w:val="7"/>
    <w:next w:val="3"/>
    <w:link w:val="93"/>
    <w:qFormat/>
    <w:uiPriority w:val="99"/>
    <w:pPr>
      <w:tabs>
        <w:tab w:val="left" w:pos="1531"/>
        <w:tab w:val="clear" w:pos="1304"/>
      </w:tabs>
      <w:ind w:left="1531" w:hanging="1531"/>
      <w:outlineLvl w:val="5"/>
    </w:pPr>
  </w:style>
  <w:style w:type="paragraph" w:styleId="9">
    <w:name w:val="heading 7"/>
    <w:basedOn w:val="8"/>
    <w:next w:val="3"/>
    <w:link w:val="94"/>
    <w:qFormat/>
    <w:uiPriority w:val="99"/>
    <w:pPr>
      <w:tabs>
        <w:tab w:val="left" w:pos="1758"/>
        <w:tab w:val="clear" w:pos="1531"/>
      </w:tabs>
      <w:ind w:left="1758" w:hanging="1758"/>
      <w:outlineLvl w:val="6"/>
    </w:pPr>
  </w:style>
  <w:style w:type="paragraph" w:styleId="10">
    <w:name w:val="heading 8"/>
    <w:basedOn w:val="9"/>
    <w:next w:val="3"/>
    <w:link w:val="95"/>
    <w:qFormat/>
    <w:uiPriority w:val="99"/>
    <w:pPr>
      <w:tabs>
        <w:tab w:val="left" w:pos="1985"/>
        <w:tab w:val="clear" w:pos="1758"/>
      </w:tabs>
      <w:ind w:left="1985" w:hanging="1985"/>
      <w:outlineLvl w:val="7"/>
    </w:pPr>
  </w:style>
  <w:style w:type="paragraph" w:styleId="11">
    <w:name w:val="heading 9"/>
    <w:basedOn w:val="10"/>
    <w:next w:val="3"/>
    <w:link w:val="96"/>
    <w:qFormat/>
    <w:uiPriority w:val="99"/>
    <w:pPr>
      <w:tabs>
        <w:tab w:val="left" w:pos="2211"/>
        <w:tab w:val="clear" w:pos="1985"/>
      </w:tabs>
      <w:ind w:left="2211" w:hanging="2211"/>
      <w:outlineLvl w:val="8"/>
    </w:pPr>
  </w:style>
  <w:style w:type="character" w:default="1" w:styleId="78">
    <w:name w:val="Default Paragraph Font"/>
    <w:semiHidden/>
    <w:unhideWhenUsed/>
    <w:qFormat/>
    <w:uiPriority w:val="1"/>
  </w:style>
  <w:style w:type="table" w:default="1" w:styleId="7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PARAGRAPH"/>
    <w:link w:val="187"/>
    <w:qFormat/>
    <w:uiPriority w:val="99"/>
    <w:pPr>
      <w:snapToGrid w:val="0"/>
      <w:spacing w:before="100" w:after="200"/>
      <w:jc w:val="both"/>
    </w:pPr>
    <w:rPr>
      <w:rFonts w:ascii="Arial" w:hAnsi="Arial" w:eastAsia="宋体" w:cs="Times New Roman"/>
      <w:spacing w:val="8"/>
      <w:kern w:val="2"/>
      <w:sz w:val="22"/>
      <w:szCs w:val="22"/>
      <w:lang w:val="en-GB" w:eastAsia="zh-CN" w:bidi="ar-SA"/>
    </w:rPr>
  </w:style>
  <w:style w:type="paragraph" w:styleId="12">
    <w:name w:val="List 3"/>
    <w:basedOn w:val="13"/>
    <w:qFormat/>
    <w:uiPriority w:val="99"/>
    <w:pPr>
      <w:tabs>
        <w:tab w:val="left" w:pos="340"/>
        <w:tab w:val="left" w:pos="680"/>
        <w:tab w:val="left" w:pos="1021"/>
      </w:tabs>
      <w:ind w:left="1020"/>
    </w:pPr>
  </w:style>
  <w:style w:type="paragraph" w:styleId="13">
    <w:name w:val="List 2"/>
    <w:basedOn w:val="14"/>
    <w:qFormat/>
    <w:uiPriority w:val="99"/>
    <w:pPr>
      <w:tabs>
        <w:tab w:val="left" w:pos="340"/>
        <w:tab w:val="left" w:pos="680"/>
      </w:tabs>
      <w:ind w:left="680"/>
    </w:pPr>
  </w:style>
  <w:style w:type="paragraph" w:styleId="14">
    <w:name w:val="List"/>
    <w:basedOn w:val="1"/>
    <w:qFormat/>
    <w:uiPriority w:val="99"/>
    <w:pPr>
      <w:tabs>
        <w:tab w:val="left" w:pos="340"/>
      </w:tabs>
      <w:snapToGrid w:val="0"/>
      <w:spacing w:after="100"/>
      <w:ind w:left="340" w:hanging="340"/>
    </w:pPr>
  </w:style>
  <w:style w:type="paragraph" w:styleId="15">
    <w:name w:val="toc 7"/>
    <w:basedOn w:val="16"/>
    <w:next w:val="1"/>
    <w:semiHidden/>
    <w:qFormat/>
    <w:uiPriority w:val="99"/>
    <w:pPr>
      <w:tabs>
        <w:tab w:val="left" w:pos="454"/>
        <w:tab w:val="right" w:pos="9070"/>
      </w:tabs>
    </w:pPr>
  </w:style>
  <w:style w:type="paragraph" w:styleId="16">
    <w:name w:val="toc 1"/>
    <w:basedOn w:val="1"/>
    <w:next w:val="1"/>
    <w:qFormat/>
    <w:uiPriority w:val="99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</w:style>
  <w:style w:type="paragraph" w:styleId="17">
    <w:name w:val="List Number 2"/>
    <w:basedOn w:val="18"/>
    <w:uiPriority w:val="99"/>
    <w:pPr>
      <w:numPr>
        <w:ilvl w:val="0"/>
        <w:numId w:val="1"/>
      </w:numPr>
      <w:tabs>
        <w:tab w:val="left" w:pos="340"/>
        <w:tab w:val="left" w:pos="1200"/>
      </w:tabs>
    </w:pPr>
  </w:style>
  <w:style w:type="paragraph" w:styleId="18">
    <w:name w:val="List Number"/>
    <w:basedOn w:val="14"/>
    <w:qFormat/>
    <w:uiPriority w:val="99"/>
    <w:pPr>
      <w:numPr>
        <w:ilvl w:val="0"/>
        <w:numId w:val="2"/>
      </w:numPr>
      <w:tabs>
        <w:tab w:val="clear" w:pos="360"/>
      </w:tabs>
      <w:ind w:left="340" w:hanging="340"/>
    </w:pPr>
  </w:style>
  <w:style w:type="paragraph" w:styleId="19">
    <w:name w:val="table of authorities"/>
    <w:basedOn w:val="1"/>
    <w:next w:val="1"/>
    <w:semiHidden/>
    <w:uiPriority w:val="99"/>
    <w:pPr>
      <w:ind w:left="200" w:hanging="200"/>
    </w:pPr>
  </w:style>
  <w:style w:type="paragraph" w:styleId="20">
    <w:name w:val="List Bullet 4"/>
    <w:basedOn w:val="21"/>
    <w:qFormat/>
    <w:uiPriority w:val="99"/>
    <w:pPr>
      <w:tabs>
        <w:tab w:val="left" w:pos="340"/>
        <w:tab w:val="left" w:pos="1021"/>
        <w:tab w:val="left" w:pos="1361"/>
      </w:tabs>
      <w:ind w:left="1361"/>
    </w:pPr>
  </w:style>
  <w:style w:type="paragraph" w:styleId="21">
    <w:name w:val="List Bullet 3"/>
    <w:basedOn w:val="22"/>
    <w:qFormat/>
    <w:uiPriority w:val="99"/>
    <w:pPr>
      <w:tabs>
        <w:tab w:val="left" w:pos="340"/>
        <w:tab w:val="left" w:pos="1021"/>
      </w:tabs>
      <w:ind w:left="1020"/>
    </w:pPr>
  </w:style>
  <w:style w:type="paragraph" w:styleId="22">
    <w:name w:val="List Bullet 2"/>
    <w:basedOn w:val="23"/>
    <w:qFormat/>
    <w:uiPriority w:val="99"/>
    <w:pPr>
      <w:numPr>
        <w:ilvl w:val="0"/>
        <w:numId w:val="3"/>
      </w:numPr>
      <w:tabs>
        <w:tab w:val="left" w:pos="340"/>
        <w:tab w:val="clear" w:pos="700"/>
      </w:tabs>
      <w:ind w:left="680" w:hanging="340"/>
    </w:pPr>
  </w:style>
  <w:style w:type="paragraph" w:styleId="23">
    <w:name w:val="List Bullet"/>
    <w:basedOn w:val="1"/>
    <w:qFormat/>
    <w:uiPriority w:val="99"/>
    <w:pPr>
      <w:numPr>
        <w:ilvl w:val="0"/>
        <w:numId w:val="4"/>
      </w:numPr>
      <w:tabs>
        <w:tab w:val="left" w:pos="340"/>
        <w:tab w:val="clear" w:pos="720"/>
      </w:tabs>
      <w:snapToGrid w:val="0"/>
      <w:spacing w:after="100"/>
      <w:ind w:left="340" w:hanging="340"/>
    </w:pPr>
  </w:style>
  <w:style w:type="paragraph" w:styleId="24">
    <w:name w:val="index 8"/>
    <w:basedOn w:val="1"/>
    <w:next w:val="1"/>
    <w:semiHidden/>
    <w:uiPriority w:val="99"/>
    <w:pPr>
      <w:ind w:left="1600" w:hanging="200"/>
    </w:pPr>
  </w:style>
  <w:style w:type="paragraph" w:styleId="25">
    <w:name w:val="Normal Indent"/>
    <w:basedOn w:val="1"/>
    <w:semiHidden/>
    <w:qFormat/>
    <w:uiPriority w:val="99"/>
    <w:pPr>
      <w:ind w:left="567"/>
    </w:pPr>
  </w:style>
  <w:style w:type="paragraph" w:styleId="26">
    <w:name w:val="caption"/>
    <w:basedOn w:val="1"/>
    <w:next w:val="1"/>
    <w:qFormat/>
    <w:uiPriority w:val="99"/>
    <w:rPr>
      <w:b/>
      <w:bCs/>
    </w:rPr>
  </w:style>
  <w:style w:type="paragraph" w:styleId="27">
    <w:name w:val="index 5"/>
    <w:basedOn w:val="1"/>
    <w:next w:val="1"/>
    <w:semiHidden/>
    <w:qFormat/>
    <w:uiPriority w:val="99"/>
    <w:pPr>
      <w:ind w:left="1000" w:hanging="200"/>
    </w:pPr>
  </w:style>
  <w:style w:type="paragraph" w:styleId="28">
    <w:name w:val="envelope address"/>
    <w:basedOn w:val="1"/>
    <w:semiHidden/>
    <w:qFormat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="Cambria" w:hAnsi="Cambria" w:eastAsia="MS Gothic" w:cs="Times New Roman"/>
      <w:sz w:val="24"/>
      <w:szCs w:val="24"/>
    </w:rPr>
  </w:style>
  <w:style w:type="paragraph" w:styleId="29">
    <w:name w:val="toa heading"/>
    <w:basedOn w:val="1"/>
    <w:next w:val="1"/>
    <w:qFormat/>
    <w:uiPriority w:val="99"/>
    <w:pPr>
      <w:spacing w:before="120"/>
    </w:pPr>
    <w:rPr>
      <w:rFonts w:ascii="Cambria" w:hAnsi="Cambria" w:eastAsia="MS Gothic" w:cs="Times New Roman"/>
      <w:b/>
      <w:bCs/>
      <w:sz w:val="24"/>
      <w:szCs w:val="24"/>
    </w:rPr>
  </w:style>
  <w:style w:type="paragraph" w:styleId="30">
    <w:name w:val="annotation text"/>
    <w:basedOn w:val="1"/>
    <w:link w:val="101"/>
    <w:semiHidden/>
    <w:qFormat/>
    <w:uiPriority w:val="99"/>
  </w:style>
  <w:style w:type="paragraph" w:styleId="31">
    <w:name w:val="index 6"/>
    <w:basedOn w:val="1"/>
    <w:next w:val="1"/>
    <w:semiHidden/>
    <w:qFormat/>
    <w:uiPriority w:val="99"/>
    <w:pPr>
      <w:ind w:left="1200" w:hanging="200"/>
    </w:pPr>
  </w:style>
  <w:style w:type="paragraph" w:styleId="32">
    <w:name w:val="Body Text 3"/>
    <w:basedOn w:val="1"/>
    <w:link w:val="114"/>
    <w:semiHidden/>
    <w:qFormat/>
    <w:uiPriority w:val="99"/>
    <w:pPr>
      <w:tabs>
        <w:tab w:val="left" w:pos="567"/>
        <w:tab w:val="left" w:pos="709"/>
        <w:tab w:val="left" w:pos="851"/>
        <w:tab w:val="left" w:pos="977"/>
        <w:tab w:val="center" w:pos="4427"/>
        <w:tab w:val="right" w:pos="8787"/>
      </w:tabs>
    </w:pPr>
    <w:rPr>
      <w:bCs/>
    </w:rPr>
  </w:style>
  <w:style w:type="paragraph" w:styleId="33">
    <w:name w:val="Body Text"/>
    <w:basedOn w:val="1"/>
    <w:link w:val="99"/>
    <w:semiHidden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34">
    <w:name w:val="Body Text Indent"/>
    <w:basedOn w:val="1"/>
    <w:link w:val="100"/>
    <w:semiHidden/>
    <w:qFormat/>
    <w:uiPriority w:val="99"/>
    <w:pPr>
      <w:spacing w:after="120"/>
      <w:ind w:left="283"/>
    </w:pPr>
    <w:rPr>
      <w:rFonts w:ascii="Times New Roman" w:hAnsi="Times New Roman" w:cs="Times New Roman"/>
    </w:rPr>
  </w:style>
  <w:style w:type="paragraph" w:styleId="35">
    <w:name w:val="List Number 3"/>
    <w:basedOn w:val="17"/>
    <w:qFormat/>
    <w:uiPriority w:val="99"/>
    <w:pPr>
      <w:numPr>
        <w:numId w:val="5"/>
      </w:numPr>
      <w:tabs>
        <w:tab w:val="left" w:pos="1021"/>
      </w:tabs>
    </w:pPr>
  </w:style>
  <w:style w:type="paragraph" w:styleId="36">
    <w:name w:val="List Continue"/>
    <w:basedOn w:val="1"/>
    <w:qFormat/>
    <w:uiPriority w:val="99"/>
    <w:pPr>
      <w:snapToGrid w:val="0"/>
      <w:spacing w:after="100"/>
      <w:ind w:left="340"/>
    </w:pPr>
  </w:style>
  <w:style w:type="paragraph" w:styleId="37">
    <w:name w:val="Block Text"/>
    <w:basedOn w:val="1"/>
    <w:semiHidden/>
    <w:qFormat/>
    <w:uiPriority w:val="99"/>
    <w:pPr>
      <w:spacing w:after="120"/>
      <w:ind w:left="1440" w:right="1440"/>
    </w:pPr>
  </w:style>
  <w:style w:type="paragraph" w:styleId="38">
    <w:name w:val="index 4"/>
    <w:basedOn w:val="1"/>
    <w:next w:val="1"/>
    <w:semiHidden/>
    <w:qFormat/>
    <w:uiPriority w:val="99"/>
    <w:pPr>
      <w:ind w:left="800" w:hanging="200"/>
    </w:pPr>
  </w:style>
  <w:style w:type="paragraph" w:styleId="39">
    <w:name w:val="toc 5"/>
    <w:basedOn w:val="40"/>
    <w:next w:val="1"/>
    <w:semiHidden/>
    <w:qFormat/>
    <w:uiPriority w:val="99"/>
    <w:pPr>
      <w:tabs>
        <w:tab w:val="left" w:pos="993"/>
        <w:tab w:val="left" w:pos="1560"/>
        <w:tab w:val="left" w:pos="2608"/>
        <w:tab w:val="left" w:pos="3686"/>
        <w:tab w:val="right" w:leader="dot" w:pos="9070"/>
      </w:tabs>
      <w:ind w:left="3685" w:hanging="1077"/>
    </w:pPr>
  </w:style>
  <w:style w:type="paragraph" w:styleId="40">
    <w:name w:val="toc 4"/>
    <w:basedOn w:val="41"/>
    <w:next w:val="1"/>
    <w:semiHidden/>
    <w:qFormat/>
    <w:uiPriority w:val="99"/>
    <w:pPr>
      <w:tabs>
        <w:tab w:val="left" w:pos="993"/>
        <w:tab w:val="left" w:pos="1560"/>
        <w:tab w:val="left" w:pos="2608"/>
        <w:tab w:val="right" w:leader="dot" w:pos="9070"/>
      </w:tabs>
      <w:ind w:left="2608" w:hanging="907"/>
    </w:pPr>
  </w:style>
  <w:style w:type="paragraph" w:styleId="41">
    <w:name w:val="toc 3"/>
    <w:basedOn w:val="42"/>
    <w:next w:val="1"/>
    <w:qFormat/>
    <w:uiPriority w:val="99"/>
    <w:pPr>
      <w:tabs>
        <w:tab w:val="left" w:pos="993"/>
        <w:tab w:val="left" w:pos="1560"/>
        <w:tab w:val="right" w:leader="dot" w:pos="9070"/>
      </w:tabs>
      <w:ind w:left="1446" w:hanging="992"/>
    </w:pPr>
  </w:style>
  <w:style w:type="paragraph" w:styleId="42">
    <w:name w:val="toc 2"/>
    <w:basedOn w:val="16"/>
    <w:next w:val="1"/>
    <w:qFormat/>
    <w:uiPriority w:val="99"/>
    <w:pPr>
      <w:tabs>
        <w:tab w:val="left" w:pos="993"/>
        <w:tab w:val="clear" w:pos="454"/>
      </w:tabs>
      <w:spacing w:after="60"/>
      <w:ind w:left="993" w:hanging="709"/>
    </w:pPr>
  </w:style>
  <w:style w:type="paragraph" w:styleId="43">
    <w:name w:val="List Bullet 5"/>
    <w:basedOn w:val="20"/>
    <w:qFormat/>
    <w:uiPriority w:val="99"/>
    <w:pPr>
      <w:tabs>
        <w:tab w:val="left" w:pos="1701"/>
        <w:tab w:val="clear" w:pos="1361"/>
      </w:tabs>
      <w:ind w:left="1701"/>
    </w:pPr>
  </w:style>
  <w:style w:type="paragraph" w:styleId="44">
    <w:name w:val="List Number 4"/>
    <w:basedOn w:val="35"/>
    <w:uiPriority w:val="99"/>
    <w:pPr>
      <w:numPr>
        <w:numId w:val="6"/>
      </w:numPr>
      <w:tabs>
        <w:tab w:val="left" w:pos="780"/>
        <w:tab w:val="left" w:pos="1361"/>
      </w:tabs>
    </w:pPr>
  </w:style>
  <w:style w:type="paragraph" w:styleId="45">
    <w:name w:val="toc 8"/>
    <w:basedOn w:val="16"/>
    <w:next w:val="1"/>
    <w:semiHidden/>
    <w:qFormat/>
    <w:uiPriority w:val="99"/>
    <w:pPr>
      <w:ind w:left="720" w:hanging="720"/>
    </w:pPr>
  </w:style>
  <w:style w:type="paragraph" w:styleId="46">
    <w:name w:val="index 3"/>
    <w:basedOn w:val="1"/>
    <w:next w:val="1"/>
    <w:semiHidden/>
    <w:qFormat/>
    <w:uiPriority w:val="99"/>
    <w:pPr>
      <w:ind w:left="600" w:hanging="200"/>
    </w:pPr>
  </w:style>
  <w:style w:type="paragraph" w:styleId="47">
    <w:name w:val="Date"/>
    <w:basedOn w:val="1"/>
    <w:next w:val="1"/>
    <w:link w:val="111"/>
    <w:semiHidden/>
    <w:qFormat/>
    <w:uiPriority w:val="99"/>
  </w:style>
  <w:style w:type="paragraph" w:styleId="48">
    <w:name w:val="Body Text Indent 2"/>
    <w:basedOn w:val="1"/>
    <w:link w:val="107"/>
    <w:semiHidden/>
    <w:qFormat/>
    <w:uiPriority w:val="99"/>
    <w:pPr>
      <w:ind w:left="567"/>
    </w:pPr>
    <w:rPr>
      <w:lang w:eastAsia="en-US"/>
    </w:rPr>
  </w:style>
  <w:style w:type="paragraph" w:styleId="49">
    <w:name w:val="List Continue 5"/>
    <w:basedOn w:val="50"/>
    <w:qFormat/>
    <w:uiPriority w:val="99"/>
    <w:pPr>
      <w:ind w:left="1701"/>
    </w:pPr>
  </w:style>
  <w:style w:type="paragraph" w:styleId="50">
    <w:name w:val="List Continue 4"/>
    <w:basedOn w:val="51"/>
    <w:qFormat/>
    <w:uiPriority w:val="99"/>
    <w:pPr>
      <w:ind w:left="1361"/>
    </w:pPr>
  </w:style>
  <w:style w:type="paragraph" w:styleId="51">
    <w:name w:val="List Continue 3"/>
    <w:basedOn w:val="52"/>
    <w:qFormat/>
    <w:uiPriority w:val="99"/>
    <w:pPr>
      <w:ind w:left="1021"/>
    </w:pPr>
  </w:style>
  <w:style w:type="paragraph" w:styleId="52">
    <w:name w:val="List Continue 2"/>
    <w:basedOn w:val="36"/>
    <w:qFormat/>
    <w:uiPriority w:val="99"/>
    <w:pPr>
      <w:ind w:left="680"/>
    </w:pPr>
  </w:style>
  <w:style w:type="paragraph" w:styleId="53">
    <w:name w:val="Balloon Text"/>
    <w:basedOn w:val="1"/>
    <w:link w:val="109"/>
    <w:semiHidden/>
    <w:qFormat/>
    <w:uiPriority w:val="99"/>
    <w:rPr>
      <w:rFonts w:ascii="Tahoma" w:hAnsi="Tahoma" w:cs="Tahoma"/>
      <w:sz w:val="16"/>
      <w:szCs w:val="16"/>
    </w:rPr>
  </w:style>
  <w:style w:type="paragraph" w:styleId="54">
    <w:name w:val="footer"/>
    <w:basedOn w:val="55"/>
    <w:link w:val="98"/>
    <w:qFormat/>
    <w:uiPriority w:val="99"/>
    <w:pPr>
      <w:tabs>
        <w:tab w:val="center" w:pos="4536"/>
        <w:tab w:val="right" w:pos="9072"/>
      </w:tabs>
    </w:pPr>
  </w:style>
  <w:style w:type="paragraph" w:styleId="55">
    <w:name w:val="header"/>
    <w:basedOn w:val="1"/>
    <w:link w:val="97"/>
    <w:qFormat/>
    <w:uiPriority w:val="99"/>
    <w:pPr>
      <w:tabs>
        <w:tab w:val="center" w:pos="4536"/>
        <w:tab w:val="right" w:pos="9072"/>
      </w:tabs>
      <w:snapToGrid w:val="0"/>
    </w:pPr>
  </w:style>
  <w:style w:type="paragraph" w:styleId="56">
    <w:name w:val="envelope return"/>
    <w:basedOn w:val="1"/>
    <w:semiHidden/>
    <w:qFormat/>
    <w:uiPriority w:val="99"/>
    <w:rPr>
      <w:rFonts w:ascii="Cambria" w:hAnsi="Cambria" w:eastAsia="MS Gothic" w:cs="Times New Roman"/>
    </w:rPr>
  </w:style>
  <w:style w:type="paragraph" w:styleId="57">
    <w:name w:val="index heading"/>
    <w:basedOn w:val="1"/>
    <w:next w:val="58"/>
    <w:semiHidden/>
    <w:uiPriority w:val="99"/>
    <w:rPr>
      <w:rFonts w:ascii="Cambria" w:hAnsi="Cambria" w:eastAsia="MS Gothic" w:cs="Times New Roman"/>
      <w:b/>
      <w:bCs/>
    </w:rPr>
  </w:style>
  <w:style w:type="paragraph" w:styleId="58">
    <w:name w:val="index 1"/>
    <w:basedOn w:val="1"/>
    <w:next w:val="1"/>
    <w:semiHidden/>
    <w:qFormat/>
    <w:uiPriority w:val="99"/>
    <w:pPr>
      <w:ind w:left="200" w:hanging="200"/>
    </w:pPr>
  </w:style>
  <w:style w:type="paragraph" w:styleId="59">
    <w:name w:val="Subtitle"/>
    <w:basedOn w:val="1"/>
    <w:next w:val="1"/>
    <w:link w:val="121"/>
    <w:qFormat/>
    <w:uiPriority w:val="99"/>
    <w:pPr>
      <w:spacing w:after="200" w:line="276" w:lineRule="auto"/>
    </w:pPr>
    <w:rPr>
      <w:rFonts w:ascii="Cambria" w:hAnsi="Cambria" w:cs="Times New Roman"/>
      <w:i/>
      <w:iCs/>
      <w:color w:val="4F81BD"/>
      <w:spacing w:val="15"/>
      <w:sz w:val="24"/>
      <w:szCs w:val="24"/>
      <w:lang w:eastAsia="ja-JP"/>
    </w:rPr>
  </w:style>
  <w:style w:type="paragraph" w:styleId="60">
    <w:name w:val="List Number 5"/>
    <w:basedOn w:val="44"/>
    <w:uiPriority w:val="99"/>
    <w:pPr>
      <w:numPr>
        <w:numId w:val="7"/>
      </w:numPr>
      <w:tabs>
        <w:tab w:val="left" w:pos="1620"/>
        <w:tab w:val="left" w:pos="1701"/>
      </w:tabs>
      <w:ind w:hanging="360"/>
    </w:pPr>
  </w:style>
  <w:style w:type="paragraph" w:styleId="61">
    <w:name w:val="footnote text"/>
    <w:basedOn w:val="1"/>
    <w:link w:val="106"/>
    <w:semiHidden/>
    <w:qFormat/>
    <w:uiPriority w:val="99"/>
    <w:pPr>
      <w:snapToGrid w:val="0"/>
      <w:spacing w:after="100"/>
      <w:ind w:left="284" w:hanging="284"/>
    </w:pPr>
    <w:rPr>
      <w:sz w:val="16"/>
      <w:szCs w:val="16"/>
    </w:rPr>
  </w:style>
  <w:style w:type="paragraph" w:styleId="62">
    <w:name w:val="toc 6"/>
    <w:basedOn w:val="39"/>
    <w:next w:val="1"/>
    <w:semiHidden/>
    <w:qFormat/>
    <w:uiPriority w:val="99"/>
    <w:pPr>
      <w:tabs>
        <w:tab w:val="left" w:pos="4933"/>
        <w:tab w:val="clear" w:pos="3686"/>
      </w:tabs>
      <w:ind w:left="4933" w:hanging="1247"/>
    </w:pPr>
  </w:style>
  <w:style w:type="paragraph" w:styleId="63">
    <w:name w:val="List 5"/>
    <w:basedOn w:val="64"/>
    <w:uiPriority w:val="99"/>
    <w:pPr>
      <w:tabs>
        <w:tab w:val="left" w:pos="340"/>
        <w:tab w:val="left" w:pos="680"/>
        <w:tab w:val="left" w:pos="1361"/>
        <w:tab w:val="left" w:pos="1701"/>
      </w:tabs>
      <w:ind w:left="1701"/>
    </w:pPr>
  </w:style>
  <w:style w:type="paragraph" w:styleId="64">
    <w:name w:val="List 4"/>
    <w:basedOn w:val="12"/>
    <w:qFormat/>
    <w:uiPriority w:val="99"/>
    <w:pPr>
      <w:tabs>
        <w:tab w:val="left" w:pos="1361"/>
        <w:tab w:val="clear" w:pos="1021"/>
      </w:tabs>
      <w:ind w:left="1361"/>
    </w:pPr>
  </w:style>
  <w:style w:type="paragraph" w:styleId="65">
    <w:name w:val="Body Text Indent 3"/>
    <w:basedOn w:val="1"/>
    <w:link w:val="108"/>
    <w:semiHidden/>
    <w:qFormat/>
    <w:uiPriority w:val="99"/>
    <w:pPr>
      <w:tabs>
        <w:tab w:val="left" w:pos="567"/>
        <w:tab w:val="left" w:pos="851"/>
        <w:tab w:val="left" w:pos="1315"/>
        <w:tab w:val="left" w:pos="1945"/>
        <w:tab w:val="left" w:pos="2575"/>
        <w:tab w:val="left" w:pos="3204"/>
        <w:tab w:val="left" w:pos="3834"/>
        <w:tab w:val="left" w:pos="4463"/>
        <w:tab w:val="left" w:pos="5093"/>
        <w:tab w:val="left" w:pos="5723"/>
        <w:tab w:val="left" w:pos="6352"/>
        <w:tab w:val="left" w:pos="6982"/>
        <w:tab w:val="left" w:pos="7611"/>
        <w:tab w:val="left" w:pos="8241"/>
      </w:tabs>
      <w:ind w:left="567"/>
    </w:pPr>
    <w:rPr>
      <w:color w:val="FF0000"/>
      <w:lang w:eastAsia="en-US"/>
    </w:rPr>
  </w:style>
  <w:style w:type="paragraph" w:styleId="66">
    <w:name w:val="index 7"/>
    <w:basedOn w:val="1"/>
    <w:next w:val="1"/>
    <w:semiHidden/>
    <w:uiPriority w:val="99"/>
    <w:pPr>
      <w:ind w:left="1400" w:hanging="200"/>
    </w:pPr>
  </w:style>
  <w:style w:type="paragraph" w:styleId="67">
    <w:name w:val="index 9"/>
    <w:basedOn w:val="1"/>
    <w:next w:val="1"/>
    <w:semiHidden/>
    <w:qFormat/>
    <w:uiPriority w:val="99"/>
    <w:pPr>
      <w:ind w:left="1800" w:hanging="200"/>
    </w:pPr>
  </w:style>
  <w:style w:type="paragraph" w:styleId="68">
    <w:name w:val="table of figures"/>
    <w:basedOn w:val="16"/>
    <w:next w:val="1"/>
    <w:semiHidden/>
    <w:uiPriority w:val="99"/>
    <w:pPr>
      <w:ind w:left="0" w:firstLine="0"/>
    </w:pPr>
  </w:style>
  <w:style w:type="paragraph" w:styleId="69">
    <w:name w:val="toc 9"/>
    <w:basedOn w:val="16"/>
    <w:next w:val="1"/>
    <w:semiHidden/>
    <w:qFormat/>
    <w:uiPriority w:val="99"/>
    <w:pPr>
      <w:ind w:left="720" w:hanging="720"/>
    </w:pPr>
  </w:style>
  <w:style w:type="paragraph" w:styleId="70">
    <w:name w:val="Body Text 2"/>
    <w:basedOn w:val="1"/>
    <w:link w:val="113"/>
    <w:semiHidden/>
    <w:qFormat/>
    <w:uiPriority w:val="99"/>
  </w:style>
  <w:style w:type="paragraph" w:styleId="71">
    <w:name w:val="Normal (Web)"/>
    <w:basedOn w:val="1"/>
    <w:semiHidden/>
    <w:uiPriority w:val="99"/>
    <w:rPr>
      <w:rFonts w:ascii="Times New Roman" w:hAnsi="Times New Roman" w:cs="Times New Roman"/>
      <w:sz w:val="24"/>
      <w:szCs w:val="24"/>
    </w:rPr>
  </w:style>
  <w:style w:type="paragraph" w:styleId="72">
    <w:name w:val="index 2"/>
    <w:basedOn w:val="1"/>
    <w:next w:val="1"/>
    <w:semiHidden/>
    <w:uiPriority w:val="99"/>
    <w:pPr>
      <w:ind w:left="400" w:hanging="200"/>
    </w:pPr>
  </w:style>
  <w:style w:type="paragraph" w:styleId="73">
    <w:name w:val="Title"/>
    <w:basedOn w:val="74"/>
    <w:link w:val="120"/>
    <w:qFormat/>
    <w:uiPriority w:val="99"/>
    <w:rPr>
      <w:kern w:val="28"/>
    </w:rPr>
  </w:style>
  <w:style w:type="paragraph" w:customStyle="1" w:styleId="74">
    <w:name w:val="MAIN-TITLE"/>
    <w:basedOn w:val="1"/>
    <w:qFormat/>
    <w:uiPriority w:val="99"/>
    <w:pPr>
      <w:snapToGrid w:val="0"/>
      <w:jc w:val="center"/>
    </w:pPr>
    <w:rPr>
      <w:b/>
      <w:bCs/>
      <w:sz w:val="24"/>
      <w:szCs w:val="24"/>
    </w:rPr>
  </w:style>
  <w:style w:type="paragraph" w:styleId="75">
    <w:name w:val="annotation subject"/>
    <w:basedOn w:val="30"/>
    <w:next w:val="30"/>
    <w:link w:val="110"/>
    <w:semiHidden/>
    <w:qFormat/>
    <w:uiPriority w:val="99"/>
    <w:rPr>
      <w:b/>
      <w:bCs/>
    </w:rPr>
  </w:style>
  <w:style w:type="table" w:styleId="77">
    <w:name w:val="Table Grid"/>
    <w:basedOn w:val="76"/>
    <w:uiPriority w:val="99"/>
    <w:rPr>
      <w:kern w:val="0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9">
    <w:name w:val="Strong"/>
    <w:basedOn w:val="78"/>
    <w:qFormat/>
    <w:uiPriority w:val="99"/>
    <w:rPr>
      <w:rFonts w:cs="Times New Roman"/>
      <w:b/>
      <w:spacing w:val="8"/>
      <w:lang w:val="en-GB" w:eastAsia="zh-CN"/>
    </w:rPr>
  </w:style>
  <w:style w:type="character" w:styleId="80">
    <w:name w:val="endnote reference"/>
    <w:basedOn w:val="78"/>
    <w:semiHidden/>
    <w:uiPriority w:val="99"/>
    <w:rPr>
      <w:rFonts w:cs="Times New Roman"/>
      <w:vertAlign w:val="superscript"/>
    </w:rPr>
  </w:style>
  <w:style w:type="character" w:styleId="81">
    <w:name w:val="page number"/>
    <w:basedOn w:val="78"/>
    <w:qFormat/>
    <w:uiPriority w:val="99"/>
    <w:rPr>
      <w:rFonts w:ascii="Arial" w:hAnsi="Arial" w:cs="Times New Roman"/>
      <w:sz w:val="20"/>
    </w:rPr>
  </w:style>
  <w:style w:type="character" w:styleId="82">
    <w:name w:val="FollowedHyperlink"/>
    <w:basedOn w:val="83"/>
    <w:uiPriority w:val="99"/>
    <w:rPr>
      <w:rFonts w:cs="Times New Roman"/>
      <w:color w:val="0000FF"/>
      <w:u w:val="single"/>
    </w:rPr>
  </w:style>
  <w:style w:type="character" w:styleId="83">
    <w:name w:val="Hyperlink"/>
    <w:basedOn w:val="78"/>
    <w:qFormat/>
    <w:uiPriority w:val="99"/>
    <w:rPr>
      <w:rFonts w:cs="Times New Roman"/>
      <w:color w:val="0000FF"/>
      <w:u w:val="single"/>
    </w:rPr>
  </w:style>
  <w:style w:type="character" w:styleId="84">
    <w:name w:val="Emphasis"/>
    <w:basedOn w:val="78"/>
    <w:qFormat/>
    <w:uiPriority w:val="99"/>
    <w:rPr>
      <w:rFonts w:cs="Times New Roman"/>
      <w:i/>
      <w:spacing w:val="8"/>
      <w:lang w:val="en-GB" w:eastAsia="zh-CN"/>
    </w:rPr>
  </w:style>
  <w:style w:type="character" w:styleId="85">
    <w:name w:val="line number"/>
    <w:basedOn w:val="78"/>
    <w:qFormat/>
    <w:uiPriority w:val="99"/>
    <w:rPr>
      <w:rFonts w:ascii="Arial" w:hAnsi="Arial" w:cs="Times New Roman"/>
      <w:spacing w:val="8"/>
      <w:sz w:val="16"/>
      <w:lang w:val="en-GB" w:eastAsia="zh-CN"/>
    </w:rPr>
  </w:style>
  <w:style w:type="character" w:styleId="86">
    <w:name w:val="annotation reference"/>
    <w:basedOn w:val="78"/>
    <w:semiHidden/>
    <w:qFormat/>
    <w:uiPriority w:val="99"/>
    <w:rPr>
      <w:rFonts w:cs="Times New Roman"/>
      <w:sz w:val="16"/>
    </w:rPr>
  </w:style>
  <w:style w:type="character" w:styleId="87">
    <w:name w:val="footnote reference"/>
    <w:basedOn w:val="78"/>
    <w:semiHidden/>
    <w:qFormat/>
    <w:uiPriority w:val="99"/>
    <w:rPr>
      <w:rFonts w:ascii="Arial" w:hAnsi="Arial" w:cs="Times New Roman"/>
      <w:position w:val="4"/>
      <w:sz w:val="16"/>
      <w:vertAlign w:val="baseline"/>
    </w:rPr>
  </w:style>
  <w:style w:type="character" w:customStyle="1" w:styleId="88">
    <w:name w:val="标题 1 Char"/>
    <w:basedOn w:val="78"/>
    <w:link w:val="2"/>
    <w:qFormat/>
    <w:locked/>
    <w:uiPriority w:val="99"/>
    <w:rPr>
      <w:rFonts w:ascii="Arial" w:hAnsi="Arial"/>
      <w:b/>
      <w:bCs/>
      <w:spacing w:val="8"/>
      <w:sz w:val="22"/>
      <w:lang w:val="en-GB"/>
    </w:rPr>
  </w:style>
  <w:style w:type="character" w:customStyle="1" w:styleId="89">
    <w:name w:val="标题 2 Char"/>
    <w:basedOn w:val="78"/>
    <w:link w:val="4"/>
    <w:semiHidden/>
    <w:qFormat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0">
    <w:name w:val="标题 3 Char"/>
    <w:basedOn w:val="78"/>
    <w:link w:val="5"/>
    <w:semiHidden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1">
    <w:name w:val="标题 4 Char"/>
    <w:basedOn w:val="78"/>
    <w:link w:val="6"/>
    <w:semiHidden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2">
    <w:name w:val="标题 5 Char"/>
    <w:basedOn w:val="78"/>
    <w:link w:val="7"/>
    <w:qFormat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3">
    <w:name w:val="标题 6 Char"/>
    <w:basedOn w:val="78"/>
    <w:link w:val="8"/>
    <w:semiHidden/>
    <w:qFormat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4">
    <w:name w:val="标题 7 Char"/>
    <w:basedOn w:val="78"/>
    <w:link w:val="9"/>
    <w:semiHidden/>
    <w:qFormat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5">
    <w:name w:val="标题 8 Char"/>
    <w:basedOn w:val="78"/>
    <w:link w:val="10"/>
    <w:semiHidden/>
    <w:qFormat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6">
    <w:name w:val="标题 9 Char"/>
    <w:basedOn w:val="78"/>
    <w:link w:val="11"/>
    <w:semiHidden/>
    <w:qFormat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7">
    <w:name w:val="页眉 Char"/>
    <w:basedOn w:val="78"/>
    <w:link w:val="55"/>
    <w:qFormat/>
    <w:locked/>
    <w:uiPriority w:val="99"/>
    <w:rPr>
      <w:rFonts w:ascii="Arial" w:hAnsi="Arial" w:cs="Arial"/>
      <w:spacing w:val="8"/>
      <w:lang w:val="en-GB" w:eastAsia="zh-CN"/>
    </w:rPr>
  </w:style>
  <w:style w:type="character" w:customStyle="1" w:styleId="98">
    <w:name w:val="页脚 Char"/>
    <w:basedOn w:val="78"/>
    <w:link w:val="54"/>
    <w:qFormat/>
    <w:locked/>
    <w:uiPriority w:val="99"/>
    <w:rPr>
      <w:rFonts w:ascii="Arial" w:hAnsi="Arial" w:cs="Arial"/>
      <w:spacing w:val="8"/>
      <w:lang w:val="en-GB" w:eastAsia="zh-CN"/>
    </w:rPr>
  </w:style>
  <w:style w:type="character" w:customStyle="1" w:styleId="99">
    <w:name w:val="正文文本 Char"/>
    <w:basedOn w:val="78"/>
    <w:link w:val="33"/>
    <w:semiHidden/>
    <w:qFormat/>
    <w:locked/>
    <w:uiPriority w:val="99"/>
    <w:rPr>
      <w:rFonts w:ascii="Arial" w:hAnsi="Arial" w:cs="Arial"/>
      <w:spacing w:val="8"/>
      <w:kern w:val="0"/>
      <w:sz w:val="20"/>
      <w:szCs w:val="20"/>
      <w:lang w:val="en-GB"/>
    </w:rPr>
  </w:style>
  <w:style w:type="character" w:customStyle="1" w:styleId="100">
    <w:name w:val="正文文本缩进 Char"/>
    <w:basedOn w:val="78"/>
    <w:link w:val="34"/>
    <w:semiHidden/>
    <w:qFormat/>
    <w:locked/>
    <w:uiPriority w:val="99"/>
    <w:rPr>
      <w:rFonts w:ascii="Arial" w:hAnsi="Arial" w:cs="Arial"/>
      <w:spacing w:val="8"/>
      <w:kern w:val="0"/>
      <w:sz w:val="20"/>
      <w:szCs w:val="20"/>
      <w:lang w:val="en-GB"/>
    </w:rPr>
  </w:style>
  <w:style w:type="character" w:customStyle="1" w:styleId="101">
    <w:name w:val="批注文字 Char"/>
    <w:basedOn w:val="78"/>
    <w:link w:val="30"/>
    <w:semiHidden/>
    <w:qFormat/>
    <w:locked/>
    <w:uiPriority w:val="99"/>
    <w:rPr>
      <w:rFonts w:ascii="Arial" w:hAnsi="Arial" w:cs="Arial"/>
      <w:spacing w:val="8"/>
      <w:kern w:val="0"/>
      <w:sz w:val="20"/>
      <w:szCs w:val="20"/>
      <w:lang w:val="en-GB"/>
    </w:rPr>
  </w:style>
  <w:style w:type="paragraph" w:customStyle="1" w:styleId="102">
    <w:name w:val="para1"/>
    <w:basedOn w:val="1"/>
    <w:qFormat/>
    <w:uiPriority w:val="99"/>
    <w:pPr>
      <w:tabs>
        <w:tab w:val="left" w:pos="567"/>
        <w:tab w:val="left" w:pos="709"/>
        <w:tab w:val="left" w:pos="851"/>
        <w:tab w:val="left" w:pos="2360"/>
        <w:tab w:val="left" w:pos="3512"/>
        <w:tab w:val="left" w:pos="4664"/>
        <w:tab w:val="left" w:pos="5816"/>
        <w:tab w:val="left" w:pos="6968"/>
        <w:tab w:val="left" w:pos="8120"/>
      </w:tabs>
      <w:ind w:right="56"/>
    </w:pPr>
    <w:rPr>
      <w:b/>
      <w:bCs/>
      <w:sz w:val="26"/>
      <w:szCs w:val="26"/>
    </w:rPr>
  </w:style>
  <w:style w:type="paragraph" w:customStyle="1" w:styleId="103">
    <w:name w:val="para2"/>
    <w:basedOn w:val="1"/>
    <w:qFormat/>
    <w:uiPriority w:val="99"/>
    <w:pPr>
      <w:tabs>
        <w:tab w:val="left" w:pos="709"/>
        <w:tab w:val="left" w:pos="2360"/>
        <w:tab w:val="left" w:pos="3512"/>
        <w:tab w:val="left" w:pos="4664"/>
        <w:tab w:val="left" w:pos="5816"/>
        <w:tab w:val="left" w:pos="6968"/>
        <w:tab w:val="left" w:pos="8120"/>
      </w:tabs>
      <w:ind w:right="56"/>
    </w:pPr>
    <w:rPr>
      <w:b/>
      <w:bCs/>
      <w:sz w:val="24"/>
      <w:szCs w:val="24"/>
    </w:rPr>
  </w:style>
  <w:style w:type="paragraph" w:customStyle="1" w:styleId="104">
    <w:name w:val="para3"/>
    <w:basedOn w:val="1"/>
    <w:qFormat/>
    <w:uiPriority w:val="99"/>
    <w:pPr>
      <w:tabs>
        <w:tab w:val="left" w:pos="851"/>
        <w:tab w:val="center" w:pos="4427"/>
        <w:tab w:val="right" w:pos="8787"/>
      </w:tabs>
      <w:ind w:right="56"/>
    </w:pPr>
    <w:rPr>
      <w:b/>
      <w:bCs/>
    </w:rPr>
  </w:style>
  <w:style w:type="paragraph" w:customStyle="1" w:styleId="105">
    <w:name w:val="Note"/>
    <w:basedOn w:val="1"/>
    <w:qFormat/>
    <w:uiPriority w:val="99"/>
  </w:style>
  <w:style w:type="character" w:customStyle="1" w:styleId="106">
    <w:name w:val="脚注文本 Char"/>
    <w:basedOn w:val="78"/>
    <w:link w:val="61"/>
    <w:semiHidden/>
    <w:qFormat/>
    <w:locked/>
    <w:uiPriority w:val="99"/>
    <w:rPr>
      <w:rFonts w:ascii="Arial" w:hAnsi="Arial" w:cs="Arial"/>
      <w:spacing w:val="8"/>
      <w:kern w:val="0"/>
      <w:sz w:val="18"/>
      <w:szCs w:val="18"/>
      <w:lang w:val="en-GB"/>
    </w:rPr>
  </w:style>
  <w:style w:type="character" w:customStyle="1" w:styleId="107">
    <w:name w:val="正文文本缩进 2 Char"/>
    <w:basedOn w:val="78"/>
    <w:link w:val="48"/>
    <w:semiHidden/>
    <w:qFormat/>
    <w:locked/>
    <w:uiPriority w:val="99"/>
    <w:rPr>
      <w:rFonts w:ascii="Arial" w:hAnsi="Arial" w:cs="Arial"/>
      <w:spacing w:val="8"/>
      <w:kern w:val="0"/>
      <w:sz w:val="20"/>
      <w:szCs w:val="20"/>
      <w:lang w:val="en-GB"/>
    </w:rPr>
  </w:style>
  <w:style w:type="character" w:customStyle="1" w:styleId="108">
    <w:name w:val="正文文本缩进 3 Char"/>
    <w:basedOn w:val="78"/>
    <w:link w:val="65"/>
    <w:semiHidden/>
    <w:qFormat/>
    <w:locked/>
    <w:uiPriority w:val="99"/>
    <w:rPr>
      <w:rFonts w:ascii="Arial" w:hAnsi="Arial" w:cs="Arial"/>
      <w:spacing w:val="8"/>
      <w:kern w:val="0"/>
      <w:sz w:val="16"/>
      <w:szCs w:val="16"/>
      <w:lang w:val="en-GB"/>
    </w:rPr>
  </w:style>
  <w:style w:type="character" w:customStyle="1" w:styleId="109">
    <w:name w:val="批注框文本 Char"/>
    <w:basedOn w:val="78"/>
    <w:link w:val="53"/>
    <w:semiHidden/>
    <w:qFormat/>
    <w:locked/>
    <w:uiPriority w:val="99"/>
    <w:rPr>
      <w:rFonts w:ascii="Arial" w:hAnsi="Arial" w:cs="Arial"/>
      <w:spacing w:val="8"/>
      <w:kern w:val="0"/>
      <w:sz w:val="2"/>
      <w:lang w:val="en-GB"/>
    </w:rPr>
  </w:style>
  <w:style w:type="character" w:customStyle="1" w:styleId="110">
    <w:name w:val="批注主题 Char"/>
    <w:basedOn w:val="101"/>
    <w:link w:val="75"/>
    <w:semiHidden/>
    <w:qFormat/>
    <w:locked/>
    <w:uiPriority w:val="99"/>
    <w:rPr>
      <w:rFonts w:ascii="Arial" w:hAnsi="Arial" w:cs="Arial"/>
      <w:b/>
      <w:bCs/>
      <w:spacing w:val="8"/>
      <w:kern w:val="0"/>
      <w:sz w:val="20"/>
      <w:szCs w:val="20"/>
      <w:lang w:val="en-GB"/>
    </w:rPr>
  </w:style>
  <w:style w:type="character" w:customStyle="1" w:styleId="111">
    <w:name w:val="日期 Char"/>
    <w:basedOn w:val="78"/>
    <w:link w:val="47"/>
    <w:semiHidden/>
    <w:locked/>
    <w:uiPriority w:val="99"/>
    <w:rPr>
      <w:rFonts w:ascii="Arial" w:hAnsi="Arial" w:cs="Arial"/>
      <w:spacing w:val="8"/>
      <w:kern w:val="0"/>
      <w:sz w:val="20"/>
      <w:szCs w:val="20"/>
      <w:lang w:val="en-GB"/>
    </w:rPr>
  </w:style>
  <w:style w:type="paragraph" w:customStyle="1" w:styleId="112">
    <w:name w:val="Links 12 Einzug 1 cm (N1)"/>
    <w:basedOn w:val="1"/>
    <w:uiPriority w:val="99"/>
    <w:pPr>
      <w:overflowPunct w:val="0"/>
      <w:autoSpaceDE w:val="0"/>
      <w:autoSpaceDN w:val="0"/>
      <w:adjustRightInd w:val="0"/>
      <w:ind w:left="567"/>
      <w:textAlignment w:val="baseline"/>
    </w:pPr>
    <w:rPr>
      <w:rFonts w:cs="Times New Roman"/>
      <w:sz w:val="24"/>
      <w:lang w:val="de-DE" w:eastAsia="en-US"/>
    </w:rPr>
  </w:style>
  <w:style w:type="character" w:customStyle="1" w:styleId="113">
    <w:name w:val="正文文本 2 Char"/>
    <w:basedOn w:val="78"/>
    <w:link w:val="70"/>
    <w:semiHidden/>
    <w:locked/>
    <w:uiPriority w:val="99"/>
    <w:rPr>
      <w:rFonts w:ascii="Arial" w:hAnsi="Arial" w:cs="Arial"/>
      <w:spacing w:val="8"/>
      <w:kern w:val="0"/>
      <w:sz w:val="20"/>
      <w:szCs w:val="20"/>
      <w:lang w:val="en-GB"/>
    </w:rPr>
  </w:style>
  <w:style w:type="character" w:customStyle="1" w:styleId="114">
    <w:name w:val="正文文本 3 Char"/>
    <w:basedOn w:val="78"/>
    <w:link w:val="32"/>
    <w:semiHidden/>
    <w:locked/>
    <w:uiPriority w:val="99"/>
    <w:rPr>
      <w:rFonts w:ascii="Arial" w:hAnsi="Arial" w:cs="Arial"/>
      <w:spacing w:val="8"/>
      <w:kern w:val="0"/>
      <w:sz w:val="16"/>
      <w:szCs w:val="16"/>
      <w:lang w:val="en-GB"/>
    </w:rPr>
  </w:style>
  <w:style w:type="paragraph" w:styleId="115">
    <w:name w:val="List Paragraph"/>
    <w:basedOn w:val="1"/>
    <w:link w:val="132"/>
    <w:qFormat/>
    <w:uiPriority w:val="99"/>
    <w:pPr>
      <w:ind w:left="567"/>
    </w:pPr>
  </w:style>
  <w:style w:type="paragraph" w:customStyle="1" w:styleId="116">
    <w:name w:val="Revision"/>
    <w:hidden/>
    <w:semiHidden/>
    <w:uiPriority w:val="99"/>
    <w:rPr>
      <w:rFonts w:ascii="Arial" w:hAnsi="Arial" w:eastAsia="宋体" w:cs="Arial"/>
      <w:kern w:val="0"/>
      <w:sz w:val="22"/>
      <w:szCs w:val="22"/>
      <w:lang w:val="fr-FR" w:eastAsia="zh-CN" w:bidi="ar-SA"/>
    </w:rPr>
  </w:style>
  <w:style w:type="paragraph" w:customStyle="1" w:styleId="117">
    <w:name w:val="Default"/>
    <w:uiPriority w:val="99"/>
    <w:pPr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en-US" w:bidi="ar-SA"/>
    </w:rPr>
  </w:style>
  <w:style w:type="paragraph" w:customStyle="1" w:styleId="118">
    <w:name w:val="Links 12 (N0)"/>
    <w:basedOn w:val="1"/>
    <w:qFormat/>
    <w:uiPriority w:val="99"/>
    <w:pPr>
      <w:widowControl w:val="0"/>
      <w:overflowPunct w:val="0"/>
      <w:autoSpaceDE w:val="0"/>
      <w:autoSpaceDN w:val="0"/>
      <w:adjustRightInd w:val="0"/>
    </w:pPr>
    <w:rPr>
      <w:rFonts w:cs="Times New Roman"/>
      <w:sz w:val="24"/>
      <w:lang w:val="de-DE" w:eastAsia="de-DE"/>
    </w:rPr>
  </w:style>
  <w:style w:type="paragraph" w:customStyle="1" w:styleId="119">
    <w:name w:val="0"/>
    <w:basedOn w:val="1"/>
    <w:qFormat/>
    <w:uiPriority w:val="99"/>
    <w:pPr>
      <w:tabs>
        <w:tab w:val="center" w:pos="4536"/>
        <w:tab w:val="right" w:pos="9072"/>
      </w:tabs>
    </w:pPr>
  </w:style>
  <w:style w:type="character" w:customStyle="1" w:styleId="120">
    <w:name w:val="标题 Char"/>
    <w:basedOn w:val="78"/>
    <w:link w:val="73"/>
    <w:qFormat/>
    <w:locked/>
    <w:uiPriority w:val="99"/>
    <w:rPr>
      <w:rFonts w:ascii="Arial" w:hAnsi="Arial" w:cs="Arial"/>
      <w:b/>
      <w:bCs/>
      <w:spacing w:val="8"/>
      <w:kern w:val="28"/>
      <w:sz w:val="24"/>
      <w:szCs w:val="24"/>
      <w:lang w:val="en-GB" w:eastAsia="zh-CN"/>
    </w:rPr>
  </w:style>
  <w:style w:type="character" w:customStyle="1" w:styleId="121">
    <w:name w:val="副标题 Char"/>
    <w:basedOn w:val="78"/>
    <w:link w:val="59"/>
    <w:qFormat/>
    <w:locked/>
    <w:uiPriority w:val="99"/>
    <w:rPr>
      <w:rFonts w:ascii="Cambria" w:hAnsi="Cambria" w:eastAsia="宋体" w:cs="Times New Roman"/>
      <w:i/>
      <w:iCs/>
      <w:color w:val="4F81BD"/>
      <w:spacing w:val="15"/>
      <w:sz w:val="24"/>
      <w:szCs w:val="24"/>
      <w:lang w:eastAsia="ja-JP"/>
    </w:rPr>
  </w:style>
  <w:style w:type="paragraph" w:customStyle="1" w:styleId="122">
    <w:name w:val="TOC Heading"/>
    <w:basedOn w:val="2"/>
    <w:next w:val="1"/>
    <w:qFormat/>
    <w:uiPriority w:val="99"/>
    <w:pPr>
      <w:suppressAutoHyphens w:val="0"/>
      <w:snapToGrid/>
      <w:spacing w:before="240" w:after="60"/>
      <w:jc w:val="both"/>
      <w:outlineLvl w:val="9"/>
    </w:pPr>
    <w:rPr>
      <w:rFonts w:ascii="Cambria" w:hAnsi="Cambria" w:eastAsia="MS Gothic"/>
      <w:kern w:val="32"/>
      <w:sz w:val="32"/>
      <w:szCs w:val="32"/>
    </w:rPr>
  </w:style>
  <w:style w:type="paragraph" w:customStyle="1" w:styleId="123">
    <w:name w:val="IECEE Note"/>
    <w:basedOn w:val="1"/>
    <w:link w:val="125"/>
    <w:qFormat/>
    <w:uiPriority w:val="99"/>
    <w:pPr>
      <w:tabs>
        <w:tab w:val="left" w:pos="709"/>
      </w:tabs>
      <w:spacing w:before="240" w:after="240"/>
    </w:pPr>
    <w:rPr>
      <w:i/>
    </w:rPr>
  </w:style>
  <w:style w:type="character" w:customStyle="1" w:styleId="124">
    <w:name w:val="Intense Emphasis"/>
    <w:basedOn w:val="78"/>
    <w:qFormat/>
    <w:uiPriority w:val="99"/>
    <w:rPr>
      <w:rFonts w:cs="Times New Roman"/>
      <w:b/>
      <w:i/>
      <w:color w:val="auto"/>
    </w:rPr>
  </w:style>
  <w:style w:type="character" w:customStyle="1" w:styleId="125">
    <w:name w:val="IECEE Note Char"/>
    <w:basedOn w:val="78"/>
    <w:link w:val="123"/>
    <w:qFormat/>
    <w:locked/>
    <w:uiPriority w:val="99"/>
    <w:rPr>
      <w:rFonts w:ascii="Arial" w:hAnsi="Arial" w:cs="Arial"/>
      <w:i/>
      <w:color w:val="000080"/>
      <w:lang w:eastAsia="zh-CN"/>
    </w:rPr>
  </w:style>
  <w:style w:type="paragraph" w:styleId="126">
    <w:name w:val="Quote"/>
    <w:basedOn w:val="1"/>
    <w:next w:val="1"/>
    <w:link w:val="127"/>
    <w:qFormat/>
    <w:uiPriority w:val="99"/>
    <w:rPr>
      <w:i/>
      <w:iCs/>
      <w:color w:val="000000"/>
    </w:rPr>
  </w:style>
  <w:style w:type="character" w:customStyle="1" w:styleId="127">
    <w:name w:val="引用 Char"/>
    <w:basedOn w:val="78"/>
    <w:link w:val="126"/>
    <w:qFormat/>
    <w:locked/>
    <w:uiPriority w:val="99"/>
    <w:rPr>
      <w:rFonts w:ascii="Arial" w:hAnsi="Arial" w:cs="Arial"/>
      <w:i/>
      <w:iCs/>
      <w:color w:val="000000"/>
      <w:sz w:val="22"/>
      <w:szCs w:val="22"/>
      <w:lang w:eastAsia="zh-CN"/>
    </w:rPr>
  </w:style>
  <w:style w:type="paragraph" w:styleId="128">
    <w:name w:val="Intense Quote"/>
    <w:basedOn w:val="1"/>
    <w:next w:val="1"/>
    <w:link w:val="129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29">
    <w:name w:val="明显引用 Char"/>
    <w:basedOn w:val="78"/>
    <w:link w:val="128"/>
    <w:qFormat/>
    <w:locked/>
    <w:uiPriority w:val="99"/>
    <w:rPr>
      <w:rFonts w:ascii="Arial" w:hAnsi="Arial" w:cs="Arial"/>
      <w:b/>
      <w:bCs/>
      <w:i/>
      <w:iCs/>
      <w:color w:val="4F81BD"/>
      <w:sz w:val="22"/>
      <w:szCs w:val="22"/>
      <w:lang w:eastAsia="zh-CN"/>
    </w:rPr>
  </w:style>
  <w:style w:type="paragraph" w:customStyle="1" w:styleId="130">
    <w:name w:val="List-Alpha"/>
    <w:basedOn w:val="115"/>
    <w:link w:val="133"/>
    <w:qFormat/>
    <w:uiPriority w:val="99"/>
    <w:pPr>
      <w:numPr>
        <w:ilvl w:val="0"/>
        <w:numId w:val="8"/>
      </w:numPr>
      <w:ind w:left="851" w:hanging="425"/>
    </w:pPr>
  </w:style>
  <w:style w:type="paragraph" w:customStyle="1" w:styleId="131">
    <w:name w:val="List-Bullet"/>
    <w:basedOn w:val="115"/>
    <w:link w:val="134"/>
    <w:qFormat/>
    <w:uiPriority w:val="99"/>
    <w:pPr>
      <w:numPr>
        <w:ilvl w:val="0"/>
        <w:numId w:val="9"/>
      </w:numPr>
      <w:ind w:left="851" w:hanging="425"/>
    </w:pPr>
  </w:style>
  <w:style w:type="character" w:customStyle="1" w:styleId="132">
    <w:name w:val="列出段落 Char"/>
    <w:basedOn w:val="78"/>
    <w:link w:val="115"/>
    <w:qFormat/>
    <w:locked/>
    <w:uiPriority w:val="99"/>
    <w:rPr>
      <w:rFonts w:ascii="Arial" w:hAnsi="Arial" w:cs="Arial"/>
      <w:spacing w:val="8"/>
      <w:lang w:val="en-GB" w:eastAsia="zh-CN"/>
    </w:rPr>
  </w:style>
  <w:style w:type="character" w:customStyle="1" w:styleId="133">
    <w:name w:val="List-Alpha Char"/>
    <w:basedOn w:val="132"/>
    <w:link w:val="130"/>
    <w:qFormat/>
    <w:locked/>
    <w:uiPriority w:val="99"/>
    <w:rPr>
      <w:rFonts w:ascii="Arial" w:hAnsi="Arial" w:cs="Arial"/>
      <w:spacing w:val="8"/>
      <w:kern w:val="0"/>
      <w:sz w:val="20"/>
      <w:szCs w:val="20"/>
      <w:lang w:val="en-GB" w:eastAsia="zh-CN"/>
    </w:rPr>
  </w:style>
  <w:style w:type="character" w:customStyle="1" w:styleId="134">
    <w:name w:val="List-Bullet Char"/>
    <w:basedOn w:val="132"/>
    <w:link w:val="131"/>
    <w:qFormat/>
    <w:locked/>
    <w:uiPriority w:val="99"/>
    <w:rPr>
      <w:rFonts w:ascii="Arial" w:hAnsi="Arial" w:cs="Arial"/>
      <w:spacing w:val="8"/>
      <w:kern w:val="0"/>
      <w:sz w:val="20"/>
      <w:szCs w:val="20"/>
      <w:lang w:val="en-GB" w:eastAsia="zh-CN"/>
    </w:rPr>
  </w:style>
  <w:style w:type="paragraph" w:customStyle="1" w:styleId="135">
    <w:name w:val="CODE-TableCell"/>
    <w:basedOn w:val="136"/>
    <w:qFormat/>
    <w:uiPriority w:val="99"/>
    <w:rPr>
      <w:sz w:val="16"/>
    </w:rPr>
  </w:style>
  <w:style w:type="paragraph" w:customStyle="1" w:styleId="136">
    <w:name w:val="CODE"/>
    <w:basedOn w:val="1"/>
    <w:qFormat/>
    <w:uiPriority w:val="99"/>
    <w:pPr>
      <w:snapToGrid w:val="0"/>
      <w:spacing w:before="100" w:after="100"/>
      <w:contextualSpacing/>
      <w:jc w:val="left"/>
    </w:pPr>
    <w:rPr>
      <w:rFonts w:ascii="Courier New" w:hAnsi="Courier New"/>
      <w:spacing w:val="-2"/>
      <w:sz w:val="18"/>
    </w:rPr>
  </w:style>
  <w:style w:type="paragraph" w:customStyle="1" w:styleId="137">
    <w:name w:val="FIGURE-title"/>
    <w:basedOn w:val="1"/>
    <w:next w:val="1"/>
    <w:qFormat/>
    <w:uiPriority w:val="99"/>
    <w:pPr>
      <w:snapToGrid w:val="0"/>
      <w:spacing w:before="100" w:after="200"/>
      <w:jc w:val="center"/>
    </w:pPr>
    <w:rPr>
      <w:b/>
      <w:bCs/>
    </w:rPr>
  </w:style>
  <w:style w:type="paragraph" w:customStyle="1" w:styleId="138">
    <w:name w:val="NOTE"/>
    <w:basedOn w:val="1"/>
    <w:qFormat/>
    <w:uiPriority w:val="99"/>
    <w:pPr>
      <w:snapToGrid w:val="0"/>
      <w:spacing w:before="100" w:after="100"/>
    </w:pPr>
    <w:rPr>
      <w:sz w:val="16"/>
      <w:szCs w:val="16"/>
    </w:rPr>
  </w:style>
  <w:style w:type="paragraph" w:customStyle="1" w:styleId="139">
    <w:name w:val="FOREWORD"/>
    <w:basedOn w:val="1"/>
    <w:qFormat/>
    <w:uiPriority w:val="99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140">
    <w:name w:val="TABLE-title"/>
    <w:basedOn w:val="3"/>
    <w:qFormat/>
    <w:uiPriority w:val="99"/>
    <w:pPr>
      <w:keepNext/>
      <w:jc w:val="center"/>
    </w:pPr>
    <w:rPr>
      <w:b/>
      <w:bCs/>
    </w:rPr>
  </w:style>
  <w:style w:type="paragraph" w:customStyle="1" w:styleId="141">
    <w:name w:val="HEADING(Nonumber)"/>
    <w:basedOn w:val="3"/>
    <w:next w:val="3"/>
    <w:qFormat/>
    <w:uiPriority w:val="99"/>
    <w:pPr>
      <w:keepNext/>
      <w:suppressAutoHyphens/>
      <w:spacing w:before="0"/>
      <w:jc w:val="center"/>
      <w:outlineLvl w:val="0"/>
    </w:pPr>
    <w:rPr>
      <w:sz w:val="24"/>
    </w:rPr>
  </w:style>
  <w:style w:type="paragraph" w:customStyle="1" w:styleId="142">
    <w:name w:val="TABLE-col-heading"/>
    <w:basedOn w:val="3"/>
    <w:qFormat/>
    <w:uiPriority w:val="99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143">
    <w:name w:val="ANNEX_title"/>
    <w:basedOn w:val="74"/>
    <w:next w:val="144"/>
    <w:qFormat/>
    <w:uiPriority w:val="99"/>
    <w:pPr>
      <w:pageBreakBefore/>
      <w:numPr>
        <w:ilvl w:val="0"/>
        <w:numId w:val="10"/>
      </w:numPr>
      <w:spacing w:after="200"/>
      <w:outlineLvl w:val="0"/>
    </w:pPr>
  </w:style>
  <w:style w:type="paragraph" w:customStyle="1" w:styleId="144">
    <w:name w:val="ANNEX-heading1"/>
    <w:basedOn w:val="2"/>
    <w:next w:val="3"/>
    <w:qFormat/>
    <w:uiPriority w:val="99"/>
    <w:pPr>
      <w:numPr>
        <w:ilvl w:val="1"/>
        <w:numId w:val="10"/>
      </w:numPr>
      <w:ind w:left="0" w:firstLine="0"/>
      <w:outlineLvl w:val="1"/>
    </w:pPr>
  </w:style>
  <w:style w:type="paragraph" w:customStyle="1" w:styleId="145">
    <w:name w:val="TERM"/>
    <w:basedOn w:val="1"/>
    <w:next w:val="146"/>
    <w:qFormat/>
    <w:uiPriority w:val="99"/>
    <w:pPr>
      <w:keepNext/>
      <w:snapToGrid w:val="0"/>
      <w:ind w:left="340" w:hanging="340"/>
    </w:pPr>
    <w:rPr>
      <w:b/>
      <w:bCs/>
    </w:rPr>
  </w:style>
  <w:style w:type="paragraph" w:customStyle="1" w:styleId="146">
    <w:name w:val="TERM-definition"/>
    <w:basedOn w:val="1"/>
    <w:next w:val="147"/>
    <w:qFormat/>
    <w:uiPriority w:val="99"/>
    <w:pPr>
      <w:snapToGrid w:val="0"/>
      <w:spacing w:after="200"/>
    </w:pPr>
  </w:style>
  <w:style w:type="paragraph" w:customStyle="1" w:styleId="147">
    <w:name w:val="TERM-number"/>
    <w:basedOn w:val="4"/>
    <w:next w:val="145"/>
    <w:qFormat/>
    <w:uiPriority w:val="99"/>
    <w:pPr>
      <w:spacing w:after="0"/>
      <w:ind w:left="0" w:firstLine="0"/>
      <w:outlineLvl w:val="9"/>
    </w:pPr>
  </w:style>
  <w:style w:type="paragraph" w:customStyle="1" w:styleId="148">
    <w:name w:val="TAB_FIG_footnote"/>
    <w:basedOn w:val="61"/>
    <w:qFormat/>
    <w:uiPriority w:val="99"/>
    <w:pPr>
      <w:tabs>
        <w:tab w:val="left" w:pos="284"/>
      </w:tabs>
      <w:spacing w:before="60" w:after="60"/>
    </w:pPr>
  </w:style>
  <w:style w:type="character" w:customStyle="1" w:styleId="149">
    <w:name w:val="Reference"/>
    <w:semiHidden/>
    <w:qFormat/>
    <w:uiPriority w:val="99"/>
    <w:rPr>
      <w:rFonts w:ascii="Arial" w:hAnsi="Arial"/>
      <w:sz w:val="20"/>
    </w:rPr>
  </w:style>
  <w:style w:type="paragraph" w:customStyle="1" w:styleId="150">
    <w:name w:val="TABLE-cell"/>
    <w:basedOn w:val="3"/>
    <w:qFormat/>
    <w:uiPriority w:val="99"/>
    <w:pPr>
      <w:spacing w:before="60" w:after="60"/>
      <w:jc w:val="left"/>
    </w:pPr>
    <w:rPr>
      <w:bCs/>
      <w:sz w:val="16"/>
    </w:rPr>
  </w:style>
  <w:style w:type="character" w:customStyle="1" w:styleId="151">
    <w:name w:val="VARIABLE"/>
    <w:qFormat/>
    <w:uiPriority w:val="99"/>
    <w:rPr>
      <w:rFonts w:ascii="Times New Roman" w:hAnsi="Times New Roman"/>
      <w:i/>
    </w:rPr>
  </w:style>
  <w:style w:type="paragraph" w:customStyle="1" w:styleId="152">
    <w:name w:val="TABLE-centered"/>
    <w:basedOn w:val="150"/>
    <w:qFormat/>
    <w:uiPriority w:val="99"/>
    <w:pPr>
      <w:jc w:val="center"/>
    </w:pPr>
  </w:style>
  <w:style w:type="paragraph" w:customStyle="1" w:styleId="153">
    <w:name w:val="AMD-Heading1"/>
    <w:basedOn w:val="2"/>
    <w:next w:val="1"/>
    <w:qFormat/>
    <w:uiPriority w:val="99"/>
    <w:pPr>
      <w:outlineLvl w:val="9"/>
    </w:pPr>
  </w:style>
  <w:style w:type="paragraph" w:customStyle="1" w:styleId="154">
    <w:name w:val="AMD-Heading2..."/>
    <w:basedOn w:val="4"/>
    <w:next w:val="1"/>
    <w:qFormat/>
    <w:uiPriority w:val="99"/>
    <w:pPr>
      <w:outlineLvl w:val="9"/>
    </w:pPr>
  </w:style>
  <w:style w:type="paragraph" w:customStyle="1" w:styleId="155">
    <w:name w:val="ANNEX-heading2"/>
    <w:basedOn w:val="4"/>
    <w:next w:val="3"/>
    <w:qFormat/>
    <w:uiPriority w:val="99"/>
    <w:pPr>
      <w:numPr>
        <w:ilvl w:val="2"/>
        <w:numId w:val="10"/>
      </w:numPr>
      <w:tabs>
        <w:tab w:val="left" w:pos="851"/>
      </w:tabs>
      <w:ind w:left="0" w:firstLine="0"/>
      <w:outlineLvl w:val="2"/>
    </w:pPr>
  </w:style>
  <w:style w:type="paragraph" w:customStyle="1" w:styleId="156">
    <w:name w:val="ANNEX-heading3"/>
    <w:basedOn w:val="5"/>
    <w:next w:val="3"/>
    <w:qFormat/>
    <w:uiPriority w:val="99"/>
    <w:pPr>
      <w:numPr>
        <w:ilvl w:val="3"/>
        <w:numId w:val="10"/>
      </w:numPr>
      <w:tabs>
        <w:tab w:val="left" w:pos="1077"/>
        <w:tab w:val="clear" w:pos="851"/>
      </w:tabs>
      <w:ind w:left="0" w:firstLine="0"/>
      <w:outlineLvl w:val="3"/>
    </w:pPr>
  </w:style>
  <w:style w:type="paragraph" w:customStyle="1" w:styleId="157">
    <w:name w:val="ANNEX-heading4"/>
    <w:basedOn w:val="6"/>
    <w:next w:val="3"/>
    <w:qFormat/>
    <w:uiPriority w:val="99"/>
    <w:pPr>
      <w:numPr>
        <w:ilvl w:val="4"/>
        <w:numId w:val="10"/>
      </w:numPr>
      <w:tabs>
        <w:tab w:val="left" w:pos="1304"/>
        <w:tab w:val="clear" w:pos="1077"/>
      </w:tabs>
      <w:ind w:left="0" w:firstLine="0"/>
      <w:outlineLvl w:val="4"/>
    </w:pPr>
  </w:style>
  <w:style w:type="paragraph" w:customStyle="1" w:styleId="158">
    <w:name w:val="ANNEX-heading5"/>
    <w:basedOn w:val="7"/>
    <w:next w:val="3"/>
    <w:qFormat/>
    <w:uiPriority w:val="99"/>
    <w:pPr>
      <w:numPr>
        <w:ilvl w:val="5"/>
        <w:numId w:val="10"/>
      </w:numPr>
      <w:tabs>
        <w:tab w:val="left" w:pos="1531"/>
        <w:tab w:val="clear" w:pos="1304"/>
      </w:tabs>
      <w:ind w:left="0" w:firstLine="0"/>
      <w:outlineLvl w:val="5"/>
    </w:pPr>
  </w:style>
  <w:style w:type="character" w:customStyle="1" w:styleId="159">
    <w:name w:val="SUPerscript"/>
    <w:qFormat/>
    <w:uiPriority w:val="99"/>
    <w:rPr>
      <w:kern w:val="0"/>
      <w:position w:val="6"/>
      <w:sz w:val="16"/>
    </w:rPr>
  </w:style>
  <w:style w:type="character" w:customStyle="1" w:styleId="160">
    <w:name w:val="SUBscript"/>
    <w:qFormat/>
    <w:uiPriority w:val="99"/>
    <w:rPr>
      <w:kern w:val="0"/>
      <w:position w:val="-6"/>
      <w:sz w:val="16"/>
    </w:rPr>
  </w:style>
  <w:style w:type="paragraph" w:customStyle="1" w:styleId="161">
    <w:name w:val="List Dash"/>
    <w:basedOn w:val="23"/>
    <w:qFormat/>
    <w:uiPriority w:val="99"/>
    <w:pPr>
      <w:numPr>
        <w:ilvl w:val="0"/>
        <w:numId w:val="11"/>
      </w:numPr>
    </w:pPr>
  </w:style>
  <w:style w:type="paragraph" w:customStyle="1" w:styleId="162">
    <w:name w:val="TERM-number 3"/>
    <w:basedOn w:val="5"/>
    <w:next w:val="145"/>
    <w:qFormat/>
    <w:uiPriority w:val="99"/>
    <w:pPr>
      <w:spacing w:after="0"/>
      <w:ind w:left="0" w:firstLine="0"/>
      <w:outlineLvl w:val="9"/>
    </w:pPr>
  </w:style>
  <w:style w:type="character" w:customStyle="1" w:styleId="163">
    <w:name w:val="SMALL CAPS"/>
    <w:qFormat/>
    <w:uiPriority w:val="99"/>
    <w:rPr>
      <w:smallCaps/>
      <w:vertAlign w:val="baseline"/>
    </w:rPr>
  </w:style>
  <w:style w:type="paragraph" w:customStyle="1" w:styleId="164">
    <w:name w:val="Numbered PARA (level 3)"/>
    <w:basedOn w:val="5"/>
    <w:qFormat/>
    <w:uiPriority w:val="99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165">
    <w:name w:val="List Dash 2"/>
    <w:basedOn w:val="22"/>
    <w:qFormat/>
    <w:uiPriority w:val="99"/>
    <w:pPr>
      <w:numPr>
        <w:numId w:val="12"/>
      </w:numPr>
      <w:tabs>
        <w:tab w:val="left" w:pos="680"/>
        <w:tab w:val="clear" w:pos="340"/>
      </w:tabs>
      <w:ind w:left="1431" w:hanging="360"/>
    </w:pPr>
  </w:style>
  <w:style w:type="paragraph" w:customStyle="1" w:styleId="166">
    <w:name w:val="Numbered PARA (level 2)"/>
    <w:basedOn w:val="4"/>
    <w:qFormat/>
    <w:uiPriority w:val="99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167">
    <w:name w:val="List Dash 3"/>
    <w:basedOn w:val="1"/>
    <w:qFormat/>
    <w:uiPriority w:val="99"/>
    <w:pPr>
      <w:numPr>
        <w:ilvl w:val="0"/>
        <w:numId w:val="13"/>
      </w:numPr>
      <w:tabs>
        <w:tab w:val="left" w:pos="1021"/>
        <w:tab w:val="clear" w:pos="340"/>
      </w:tabs>
      <w:snapToGrid w:val="0"/>
      <w:spacing w:after="100"/>
      <w:ind w:left="1020"/>
    </w:pPr>
  </w:style>
  <w:style w:type="paragraph" w:customStyle="1" w:styleId="168">
    <w:name w:val="List Dash 4"/>
    <w:basedOn w:val="1"/>
    <w:qFormat/>
    <w:uiPriority w:val="99"/>
    <w:pPr>
      <w:numPr>
        <w:ilvl w:val="0"/>
        <w:numId w:val="14"/>
      </w:numPr>
      <w:snapToGrid w:val="0"/>
      <w:spacing w:after="100"/>
    </w:pPr>
  </w:style>
  <w:style w:type="paragraph" w:customStyle="1" w:styleId="169">
    <w:name w:val="PARAEQUATION"/>
    <w:basedOn w:val="1"/>
    <w:qFormat/>
    <w:uiPriority w:val="99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170">
    <w:name w:val="TERM-deprecated"/>
    <w:basedOn w:val="145"/>
    <w:next w:val="146"/>
    <w:qFormat/>
    <w:uiPriority w:val="99"/>
    <w:rPr>
      <w:b w:val="0"/>
    </w:rPr>
  </w:style>
  <w:style w:type="paragraph" w:customStyle="1" w:styleId="171">
    <w:name w:val="TERM-admitted"/>
    <w:basedOn w:val="145"/>
    <w:next w:val="146"/>
    <w:qFormat/>
    <w:uiPriority w:val="99"/>
    <w:rPr>
      <w:b w:val="0"/>
    </w:rPr>
  </w:style>
  <w:style w:type="paragraph" w:customStyle="1" w:styleId="172">
    <w:name w:val="TERM-note"/>
    <w:basedOn w:val="138"/>
    <w:next w:val="147"/>
    <w:qFormat/>
    <w:uiPriority w:val="99"/>
  </w:style>
  <w:style w:type="paragraph" w:customStyle="1" w:styleId="173">
    <w:name w:val="EXAMPLE"/>
    <w:basedOn w:val="138"/>
    <w:next w:val="1"/>
    <w:qFormat/>
    <w:uiPriority w:val="99"/>
  </w:style>
  <w:style w:type="paragraph" w:customStyle="1" w:styleId="174">
    <w:name w:val="TERM-example"/>
    <w:basedOn w:val="173"/>
    <w:next w:val="147"/>
    <w:qFormat/>
    <w:uiPriority w:val="99"/>
  </w:style>
  <w:style w:type="paragraph" w:customStyle="1" w:styleId="175">
    <w:name w:val="TERM-source"/>
    <w:basedOn w:val="1"/>
    <w:next w:val="147"/>
    <w:qFormat/>
    <w:uiPriority w:val="99"/>
    <w:pPr>
      <w:snapToGrid w:val="0"/>
      <w:spacing w:before="100" w:after="200"/>
    </w:pPr>
  </w:style>
  <w:style w:type="paragraph" w:customStyle="1" w:styleId="176">
    <w:name w:val="TERM-number 4"/>
    <w:basedOn w:val="6"/>
    <w:next w:val="145"/>
    <w:qFormat/>
    <w:uiPriority w:val="99"/>
    <w:pPr>
      <w:spacing w:after="0"/>
      <w:outlineLvl w:val="9"/>
    </w:pPr>
  </w:style>
  <w:style w:type="character" w:customStyle="1" w:styleId="177">
    <w:name w:val="SMALL CAPS emphasis"/>
    <w:qFormat/>
    <w:uiPriority w:val="99"/>
    <w:rPr>
      <w:i/>
      <w:smallCaps/>
      <w:vertAlign w:val="baseline"/>
    </w:rPr>
  </w:style>
  <w:style w:type="character" w:customStyle="1" w:styleId="178">
    <w:name w:val="SMALL CAPS strong"/>
    <w:qFormat/>
    <w:uiPriority w:val="99"/>
    <w:rPr>
      <w:b/>
      <w:smallCaps/>
      <w:vertAlign w:val="baseline"/>
    </w:rPr>
  </w:style>
  <w:style w:type="paragraph" w:customStyle="1" w:styleId="179">
    <w:name w:val="BIBLIOGRAPHY-numbered"/>
    <w:basedOn w:val="3"/>
    <w:qFormat/>
    <w:uiPriority w:val="99"/>
    <w:pPr>
      <w:numPr>
        <w:ilvl w:val="0"/>
        <w:numId w:val="15"/>
      </w:numPr>
      <w:jc w:val="left"/>
    </w:pPr>
  </w:style>
  <w:style w:type="paragraph" w:customStyle="1" w:styleId="180">
    <w:name w:val="List Number alt"/>
    <w:basedOn w:val="1"/>
    <w:qFormat/>
    <w:uiPriority w:val="99"/>
    <w:pPr>
      <w:numPr>
        <w:ilvl w:val="0"/>
        <w:numId w:val="16"/>
      </w:numPr>
      <w:tabs>
        <w:tab w:val="left" w:pos="357"/>
      </w:tabs>
      <w:snapToGrid w:val="0"/>
      <w:spacing w:after="100"/>
    </w:pPr>
  </w:style>
  <w:style w:type="paragraph" w:customStyle="1" w:styleId="181">
    <w:name w:val="List Number alt 2"/>
    <w:basedOn w:val="180"/>
    <w:qFormat/>
    <w:uiPriority w:val="99"/>
    <w:pPr>
      <w:numPr>
        <w:ilvl w:val="1"/>
      </w:numPr>
      <w:tabs>
        <w:tab w:val="left" w:pos="680"/>
        <w:tab w:val="clear" w:pos="357"/>
      </w:tabs>
      <w:ind w:left="675" w:hanging="318"/>
    </w:pPr>
  </w:style>
  <w:style w:type="paragraph" w:customStyle="1" w:styleId="182">
    <w:name w:val="List Number alt 3"/>
    <w:basedOn w:val="181"/>
    <w:qFormat/>
    <w:uiPriority w:val="99"/>
    <w:pPr>
      <w:numPr>
        <w:ilvl w:val="2"/>
      </w:numPr>
    </w:pPr>
  </w:style>
  <w:style w:type="character" w:customStyle="1" w:styleId="183">
    <w:name w:val="SUBscript-small"/>
    <w:qFormat/>
    <w:uiPriority w:val="99"/>
    <w:rPr>
      <w:kern w:val="0"/>
      <w:position w:val="-6"/>
      <w:sz w:val="16"/>
    </w:rPr>
  </w:style>
  <w:style w:type="character" w:customStyle="1" w:styleId="184">
    <w:name w:val="SUPerscript-small"/>
    <w:qFormat/>
    <w:uiPriority w:val="99"/>
    <w:rPr>
      <w:kern w:val="0"/>
      <w:position w:val="6"/>
      <w:sz w:val="16"/>
    </w:rPr>
  </w:style>
  <w:style w:type="paragraph" w:customStyle="1" w:styleId="185">
    <w:name w:val="FIGURE"/>
    <w:basedOn w:val="1"/>
    <w:next w:val="137"/>
    <w:qFormat/>
    <w:uiPriority w:val="99"/>
    <w:pPr>
      <w:keepNext/>
      <w:snapToGrid w:val="0"/>
      <w:spacing w:before="100" w:after="200"/>
      <w:jc w:val="center"/>
    </w:pPr>
  </w:style>
  <w:style w:type="paragraph" w:customStyle="1" w:styleId="186">
    <w:name w:val="IEC_INSTRUCTIONS"/>
    <w:basedOn w:val="1"/>
    <w:semiHidden/>
    <w:qFormat/>
    <w:uiPriority w:val="99"/>
    <w:pPr>
      <w:pBdr>
        <w:top w:val="dashed" w:color="C00000" w:sz="6" w:space="5"/>
        <w:left w:val="dashed" w:color="C00000" w:sz="6" w:space="5"/>
        <w:bottom w:val="dashed" w:color="C00000" w:sz="6" w:space="5"/>
        <w:right w:val="dashed" w:color="C00000" w:sz="6" w:space="5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character" w:customStyle="1" w:styleId="187">
    <w:name w:val="PARAGRAPH Char"/>
    <w:link w:val="3"/>
    <w:qFormat/>
    <w:locked/>
    <w:uiPriority w:val="99"/>
    <w:rPr>
      <w:rFonts w:ascii="Arial" w:hAnsi="Arial"/>
      <w:spacing w:val="8"/>
      <w:kern w:val="2"/>
      <w:sz w:val="22"/>
      <w:lang w:val="en-GB" w:eastAsia="zh-CN"/>
    </w:rPr>
  </w:style>
  <w:style w:type="paragraph" w:customStyle="1" w:styleId="188">
    <w:name w:val="Bibliography"/>
    <w:basedOn w:val="1"/>
    <w:next w:val="1"/>
    <w:semiHidden/>
    <w:qFormat/>
    <w:uiPriority w:val="99"/>
  </w:style>
  <w:style w:type="paragraph" w:styleId="189">
    <w:name w:val="No Spacing"/>
    <w:qFormat/>
    <w:uiPriority w:val="99"/>
    <w:pPr>
      <w:jc w:val="both"/>
    </w:pPr>
    <w:rPr>
      <w:rFonts w:ascii="Arial" w:hAnsi="Arial" w:eastAsia="宋体" w:cs="Arial"/>
      <w:spacing w:val="8"/>
      <w:kern w:val="0"/>
      <w:sz w:val="20"/>
      <w:szCs w:val="20"/>
      <w:lang w:val="en-GB" w:eastAsia="zh-CN" w:bidi="ar-SA"/>
    </w:rPr>
  </w:style>
  <w:style w:type="paragraph" w:customStyle="1" w:styleId="190">
    <w:name w:val="pbcopy"/>
    <w:basedOn w:val="54"/>
    <w:qFormat/>
    <w:uiPriority w:val="99"/>
    <w:pPr>
      <w:tabs>
        <w:tab w:val="left" w:pos="426"/>
        <w:tab w:val="left" w:pos="510"/>
        <w:tab w:val="left" w:pos="851"/>
        <w:tab w:val="left" w:pos="1276"/>
        <w:tab w:val="left" w:pos="4253"/>
        <w:tab w:val="clear" w:pos="4536"/>
        <w:tab w:val="clear" w:pos="9072"/>
      </w:tabs>
      <w:snapToGrid/>
      <w:spacing w:after="60" w:line="190" w:lineRule="exact"/>
    </w:pPr>
    <w:rPr>
      <w:rFonts w:cs="Times New Roman"/>
      <w:spacing w:val="0"/>
      <w:sz w:val="16"/>
      <w:lang w:eastAsia="en-US"/>
    </w:rPr>
  </w:style>
  <w:style w:type="paragraph" w:customStyle="1" w:styleId="191">
    <w:name w:val="Std reference right"/>
    <w:basedOn w:val="1"/>
    <w:qFormat/>
    <w:uiPriority w:val="99"/>
    <w:pPr>
      <w:jc w:val="right"/>
    </w:pPr>
    <w:rPr>
      <w:rFonts w:cs="Arial Bold"/>
      <w:b/>
      <w:bCs/>
      <w:color w:val="9C9D9F"/>
      <w:spacing w:val="0"/>
      <w:sz w:val="50"/>
      <w:szCs w:val="50"/>
      <w:lang w:val="en-US"/>
    </w:rPr>
  </w:style>
  <w:style w:type="paragraph" w:customStyle="1" w:styleId="192">
    <w:name w:val="Edition right"/>
    <w:basedOn w:val="191"/>
    <w:qFormat/>
    <w:uiPriority w:val="99"/>
    <w:rPr>
      <w:b w:val="0"/>
      <w:bCs w:val="0"/>
      <w:color w:val="auto"/>
      <w:sz w:val="21"/>
      <w:szCs w:val="21"/>
    </w:rPr>
  </w:style>
  <w:style w:type="paragraph" w:customStyle="1" w:styleId="193">
    <w:name w:val="BlueBox 30 Left"/>
    <w:basedOn w:val="191"/>
    <w:qFormat/>
    <w:uiPriority w:val="99"/>
    <w:pPr>
      <w:jc w:val="left"/>
    </w:pPr>
    <w:rPr>
      <w:color w:val="005AA1"/>
      <w:sz w:val="60"/>
      <w:szCs w:val="60"/>
    </w:rPr>
  </w:style>
  <w:style w:type="paragraph" w:customStyle="1" w:styleId="194">
    <w:name w:val="Title12-Blue"/>
    <w:basedOn w:val="1"/>
    <w:qFormat/>
    <w:uiPriority w:val="99"/>
    <w:pPr>
      <w:spacing w:line="300" w:lineRule="exact"/>
      <w:jc w:val="left"/>
    </w:pPr>
    <w:rPr>
      <w:rFonts w:cs="Arial Bold"/>
      <w:b/>
      <w:bCs/>
      <w:color w:val="005AA1"/>
      <w:spacing w:val="0"/>
      <w:sz w:val="24"/>
      <w:szCs w:val="24"/>
      <w:lang w:val="fr-CH"/>
    </w:rPr>
  </w:style>
  <w:style w:type="paragraph" w:customStyle="1" w:styleId="195">
    <w:name w:val="Ref-7"/>
    <w:basedOn w:val="1"/>
    <w:qFormat/>
    <w:uiPriority w:val="99"/>
    <w:pPr>
      <w:jc w:val="left"/>
    </w:pPr>
    <w:rPr>
      <w:spacing w:val="0"/>
      <w:sz w:val="14"/>
      <w:szCs w:val="14"/>
      <w:lang w:val="en-US"/>
    </w:rPr>
  </w:style>
  <w:style w:type="paragraph" w:customStyle="1" w:styleId="196">
    <w:name w:val="IEC-Box-9-left"/>
    <w:basedOn w:val="193"/>
    <w:qFormat/>
    <w:uiPriority w:val="99"/>
    <w:pPr>
      <w:spacing w:after="200" w:line="260" w:lineRule="exact"/>
    </w:pPr>
    <w:rPr>
      <w:b w:val="0"/>
      <w:bCs w:val="0"/>
      <w:sz w:val="18"/>
      <w:szCs w:val="18"/>
    </w:rPr>
  </w:style>
  <w:style w:type="paragraph" w:customStyle="1" w:styleId="197">
    <w:name w:val="ISBN"/>
    <w:basedOn w:val="192"/>
    <w:qFormat/>
    <w:uiPriority w:val="99"/>
    <w:rPr>
      <w:sz w:val="16"/>
      <w:szCs w:val="16"/>
    </w:rPr>
  </w:style>
  <w:style w:type="paragraph" w:customStyle="1" w:styleId="198">
    <w:name w:val="PRICECODE"/>
    <w:basedOn w:val="1"/>
    <w:qFormat/>
    <w:uiPriority w:val="99"/>
    <w:pPr>
      <w:jc w:val="right"/>
    </w:pPr>
    <w:rPr>
      <w:rFonts w:cs="Arial Bold"/>
      <w:b/>
      <w:bCs/>
      <w:color w:val="9C9D9F"/>
      <w:spacing w:val="0"/>
      <w:sz w:val="50"/>
      <w:szCs w:val="50"/>
      <w:lang w:val="en-US"/>
    </w:rPr>
  </w:style>
  <w:style w:type="paragraph" w:customStyle="1" w:styleId="199">
    <w:name w:val="2ndpage"/>
    <w:basedOn w:val="1"/>
    <w:uiPriority w:val="99"/>
    <w:pPr>
      <w:ind w:right="-1"/>
    </w:pPr>
    <w:rPr>
      <w:spacing w:val="4"/>
      <w:sz w:val="16"/>
      <w:szCs w:val="16"/>
      <w:lang w:val="en-US" w:eastAsia="en-US"/>
    </w:rPr>
  </w:style>
  <w:style w:type="character" w:styleId="200">
    <w:name w:val="Placeholder Text"/>
    <w:basedOn w:val="78"/>
    <w:semiHidden/>
    <w:qFormat/>
    <w:uiPriority w:val="99"/>
    <w:rPr>
      <w:rFonts w:cs="Times New Roman"/>
      <w:color w:val="808080"/>
    </w:rPr>
  </w:style>
  <w:style w:type="character" w:customStyle="1" w:styleId="201">
    <w:name w:val="Paragraph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IEC-CO, Geneva</Company>
  <Pages>4</Pages>
  <Words>1694</Words>
  <Characters>2374</Characters>
  <Lines>18</Lines>
  <Paragraphs>5</Paragraphs>
  <TotalTime>39</TotalTime>
  <ScaleCrop>false</ScaleCrop>
  <LinksUpToDate>false</LinksUpToDate>
  <CharactersWithSpaces>2425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2022-06-06T03:01:00Z</dcterms:created>
  <dc:creator>Margis, Steven T.</dc:creator>
  <cp:lastModifiedBy>yess</cp:lastModifiedBy>
  <cp:lastPrinted>2015-02-15T01:45:00Z</cp:lastPrinted>
  <dcterms:modified xsi:type="dcterms:W3CDTF">2022-06-16T02:24:03Z</dcterms:modified>
  <dc:subject>IECEE Operational Document</dc:subject>
  <dc:title>OD XX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C3A9AC6D0E47410F90AB3BE19347B73B</vt:lpwstr>
  </property>
</Properties>
</file>