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09" w:rsidRPr="00A36B80" w:rsidRDefault="003A5A96" w:rsidP="00A36B80">
      <w:pPr>
        <w:widowControl/>
        <w:shd w:val="clear" w:color="auto" w:fill="FFFFFF"/>
        <w:spacing w:before="100" w:beforeAutospacing="1" w:after="100" w:afterAutospacing="1" w:line="276" w:lineRule="auto"/>
        <w:jc w:val="center"/>
        <w:rPr>
          <w:rFonts w:ascii="Times New Roman" w:eastAsia="微软雅黑" w:hAnsi="Times New Roman" w:cs="Times New Roman"/>
          <w:sz w:val="28"/>
          <w:szCs w:val="21"/>
        </w:rPr>
      </w:pPr>
      <w:bookmarkStart w:id="0" w:name="OLE_LINK2"/>
      <w:bookmarkStart w:id="1" w:name="OLE_LINK1"/>
      <w:r w:rsidRPr="007F677A">
        <w:rPr>
          <w:rFonts w:ascii="Times New Roman" w:eastAsia="微软雅黑" w:hAnsi="微软雅黑" w:cs="Times New Roman"/>
          <w:sz w:val="28"/>
          <w:szCs w:val="21"/>
        </w:rPr>
        <w:t>201</w:t>
      </w:r>
      <w:r w:rsidR="00806544" w:rsidRPr="007F677A">
        <w:rPr>
          <w:rFonts w:ascii="Times New Roman" w:eastAsia="微软雅黑" w:hAnsi="微软雅黑" w:cs="Times New Roman"/>
          <w:sz w:val="28"/>
          <w:szCs w:val="21"/>
        </w:rPr>
        <w:t>8</w:t>
      </w:r>
      <w:r w:rsidR="00CE4736" w:rsidRPr="00FC6BB1">
        <w:rPr>
          <w:rFonts w:ascii="Times New Roman" w:eastAsia="微软雅黑" w:hAnsi="微软雅黑" w:cs="Times New Roman"/>
          <w:sz w:val="28"/>
          <w:szCs w:val="21"/>
        </w:rPr>
        <w:t>年第</w:t>
      </w:r>
      <w:r w:rsidR="00AB1313">
        <w:rPr>
          <w:rFonts w:ascii="Times New Roman" w:eastAsia="微软雅黑" w:hAnsi="微软雅黑" w:cs="Times New Roman" w:hint="eastAsia"/>
          <w:sz w:val="28"/>
          <w:szCs w:val="21"/>
        </w:rPr>
        <w:t>三</w:t>
      </w:r>
      <w:r w:rsidR="00701B0A" w:rsidRPr="00FC6BB1">
        <w:rPr>
          <w:rFonts w:ascii="Times New Roman" w:eastAsia="微软雅黑" w:hAnsi="微软雅黑" w:cs="Times New Roman"/>
          <w:sz w:val="28"/>
          <w:szCs w:val="21"/>
        </w:rPr>
        <w:t>季度上海市医疗器械不良事件监测情况</w:t>
      </w:r>
      <w:bookmarkEnd w:id="0"/>
      <w:bookmarkEnd w:id="1"/>
    </w:p>
    <w:p w:rsidR="00201609" w:rsidRPr="00FC6BB1" w:rsidRDefault="00A36B80" w:rsidP="00FC6BB1">
      <w:pPr>
        <w:widowControl/>
        <w:shd w:val="clear" w:color="auto" w:fill="FFFFFF"/>
        <w:spacing w:line="276" w:lineRule="auto"/>
        <w:ind w:firstLineChars="202" w:firstLine="424"/>
        <w:jc w:val="left"/>
        <w:outlineLvl w:val="0"/>
        <w:rPr>
          <w:rFonts w:ascii="Times New Roman" w:eastAsia="微软雅黑" w:hAnsi="Times New Roman" w:cs="Times New Roman"/>
          <w:b/>
          <w:bCs/>
          <w:kern w:val="0"/>
          <w:szCs w:val="21"/>
        </w:rPr>
      </w:pPr>
      <w:r>
        <w:rPr>
          <w:rFonts w:ascii="Times New Roman" w:eastAsia="微软雅黑" w:hAnsi="微软雅黑" w:cs="Times New Roman" w:hint="eastAsia"/>
          <w:b/>
          <w:bCs/>
          <w:kern w:val="0"/>
          <w:szCs w:val="21"/>
        </w:rPr>
        <w:t>1.</w:t>
      </w:r>
      <w:r w:rsidR="00201609" w:rsidRPr="00FC6BB1">
        <w:rPr>
          <w:rFonts w:ascii="Times New Roman" w:eastAsia="微软雅黑" w:hAnsi="微软雅黑" w:cs="Times New Roman"/>
          <w:b/>
          <w:bCs/>
          <w:kern w:val="0"/>
          <w:szCs w:val="21"/>
        </w:rPr>
        <w:t>每百万人口报告数量</w:t>
      </w:r>
    </w:p>
    <w:p w:rsidR="00201609" w:rsidRPr="00FC6BB1" w:rsidRDefault="00FC6BB1" w:rsidP="00FC6BB1">
      <w:pPr>
        <w:spacing w:line="276" w:lineRule="auto"/>
        <w:ind w:firstLineChars="202" w:firstLine="424"/>
        <w:rPr>
          <w:rFonts w:ascii="Times New Roman" w:hAnsi="Times New Roman" w:cs="Times New Roman"/>
          <w:kern w:val="0"/>
        </w:rPr>
      </w:pPr>
      <w:r w:rsidRPr="00FC6BB1">
        <w:rPr>
          <w:rFonts w:ascii="Times New Roman" w:hAnsiTheme="minorEastAsia" w:cs="Times New Roman"/>
          <w:kern w:val="0"/>
        </w:rPr>
        <w:t>截至</w:t>
      </w:r>
      <w:r w:rsidRPr="00FC6BB1">
        <w:rPr>
          <w:rFonts w:ascii="Times New Roman" w:hAnsi="Times New Roman" w:cs="Times New Roman"/>
          <w:kern w:val="0"/>
        </w:rPr>
        <w:t>2018</w:t>
      </w:r>
      <w:r w:rsidRPr="00FC6BB1">
        <w:rPr>
          <w:rFonts w:ascii="Times New Roman" w:hAnsiTheme="minorEastAsia" w:cs="Times New Roman"/>
          <w:kern w:val="0"/>
        </w:rPr>
        <w:t>年第</w:t>
      </w:r>
      <w:r w:rsidR="00AB37C4">
        <w:rPr>
          <w:rFonts w:ascii="Times New Roman" w:hAnsiTheme="minorEastAsia" w:cs="Times New Roman" w:hint="eastAsia"/>
          <w:kern w:val="0"/>
        </w:rPr>
        <w:t>三</w:t>
      </w:r>
      <w:r w:rsidRPr="00FC6BB1">
        <w:rPr>
          <w:rFonts w:ascii="Times New Roman" w:hAnsiTheme="minorEastAsia" w:cs="Times New Roman"/>
          <w:kern w:val="0"/>
        </w:rPr>
        <w:t>季度，本市可疑医疗器械不良事件报告数量达到</w:t>
      </w:r>
      <w:r w:rsidR="00CB2DFA">
        <w:rPr>
          <w:rFonts w:ascii="Times New Roman" w:hAnsi="Times New Roman" w:cs="Times New Roman" w:hint="eastAsia"/>
          <w:kern w:val="0"/>
        </w:rPr>
        <w:t>5371</w:t>
      </w:r>
      <w:r w:rsidRPr="00FC6BB1">
        <w:rPr>
          <w:rFonts w:ascii="Times New Roman" w:hAnsiTheme="minorEastAsia" w:cs="Times New Roman"/>
          <w:kern w:val="0"/>
        </w:rPr>
        <w:t>份，每百万人口报告数量为</w:t>
      </w:r>
      <w:r w:rsidR="009E2ED8">
        <w:rPr>
          <w:rFonts w:ascii="Times New Roman" w:hAnsi="Times New Roman" w:cs="Times New Roman" w:hint="eastAsia"/>
          <w:kern w:val="0"/>
        </w:rPr>
        <w:t>222</w:t>
      </w:r>
      <w:r w:rsidRPr="00FC6BB1">
        <w:rPr>
          <w:rFonts w:ascii="Times New Roman" w:hAnsiTheme="minorEastAsia" w:cs="Times New Roman"/>
          <w:kern w:val="0"/>
        </w:rPr>
        <w:t>份。与</w:t>
      </w:r>
      <w:r w:rsidRPr="00FC6BB1">
        <w:rPr>
          <w:rFonts w:ascii="Times New Roman" w:hAnsi="Times New Roman" w:cs="Times New Roman"/>
          <w:kern w:val="0"/>
        </w:rPr>
        <w:t>2017</w:t>
      </w:r>
      <w:r w:rsidR="009E2ED8">
        <w:rPr>
          <w:rFonts w:ascii="Times New Roman" w:hAnsiTheme="minorEastAsia" w:cs="Times New Roman"/>
          <w:kern w:val="0"/>
        </w:rPr>
        <w:t>年同期相比，每百万人口报告数量</w:t>
      </w:r>
      <w:r w:rsidR="009E2ED8">
        <w:rPr>
          <w:rFonts w:ascii="Times New Roman" w:hAnsiTheme="minorEastAsia" w:cs="Times New Roman" w:hint="eastAsia"/>
          <w:kern w:val="0"/>
        </w:rPr>
        <w:t>增加</w:t>
      </w:r>
      <w:r w:rsidRPr="00FC6BB1">
        <w:rPr>
          <w:rFonts w:ascii="Times New Roman" w:hAnsiTheme="minorEastAsia" w:cs="Times New Roman"/>
          <w:kern w:val="0"/>
        </w:rPr>
        <w:t>了</w:t>
      </w:r>
      <w:r w:rsidR="009E2ED8">
        <w:rPr>
          <w:rFonts w:ascii="Times New Roman" w:hAnsi="Times New Roman" w:cs="Times New Roman" w:hint="eastAsia"/>
          <w:kern w:val="0"/>
        </w:rPr>
        <w:t>33</w:t>
      </w:r>
      <w:r w:rsidRPr="00FC6BB1">
        <w:rPr>
          <w:rFonts w:ascii="Times New Roman" w:hAnsiTheme="minorEastAsia" w:cs="Times New Roman"/>
          <w:kern w:val="0"/>
        </w:rPr>
        <w:t>份</w:t>
      </w:r>
      <w:r w:rsidR="00D35B3F" w:rsidRPr="00FC6BB1">
        <w:rPr>
          <w:rFonts w:ascii="Times New Roman" w:hAnsiTheme="minorEastAsia" w:cs="Times New Roman"/>
          <w:kern w:val="0"/>
        </w:rPr>
        <w:t>（</w:t>
      </w:r>
      <w:fldSimple w:instr=" REF _Ref475535812 \h  \* MERGEFORMAT ">
        <w:r w:rsidR="00A36B80" w:rsidRPr="00A36B80">
          <w:rPr>
            <w:rFonts w:ascii="Times New Roman" w:hAnsiTheme="minorEastAsia" w:cs="Times New Roman"/>
            <w:kern w:val="0"/>
          </w:rPr>
          <w:t>图</w:t>
        </w:r>
        <w:r w:rsidR="00A36B80" w:rsidRPr="00A36B80">
          <w:rPr>
            <w:rFonts w:ascii="Times New Roman" w:hAnsi="Times New Roman" w:cs="Times New Roman"/>
            <w:kern w:val="0"/>
          </w:rPr>
          <w:t xml:space="preserve"> 1</w:t>
        </w:r>
      </w:fldSimple>
      <w:r w:rsidR="00D35B3F" w:rsidRPr="00FC6BB1">
        <w:rPr>
          <w:rFonts w:ascii="Times New Roman" w:hAnsiTheme="minorEastAsia" w:cs="Times New Roman"/>
          <w:kern w:val="0"/>
        </w:rPr>
        <w:t>）。</w:t>
      </w:r>
    </w:p>
    <w:p w:rsidR="004F51E8" w:rsidRPr="00FC6BB1" w:rsidRDefault="009E2ED8" w:rsidP="00FC6BB1">
      <w:pPr>
        <w:widowControl/>
        <w:shd w:val="clear" w:color="auto" w:fill="FFFFFF"/>
        <w:spacing w:line="276" w:lineRule="auto"/>
        <w:jc w:val="center"/>
        <w:rPr>
          <w:rFonts w:ascii="Times New Roman" w:eastAsia="微软雅黑" w:hAnsi="Times New Roman" w:cs="Times New Roman"/>
          <w:kern w:val="0"/>
          <w:szCs w:val="21"/>
        </w:rPr>
      </w:pPr>
      <w:r w:rsidRPr="009E2ED8">
        <w:rPr>
          <w:rFonts w:ascii="Times New Roman" w:eastAsia="微软雅黑" w:hAnsi="Times New Roman" w:cs="Times New Roman"/>
          <w:noProof/>
          <w:kern w:val="0"/>
          <w:szCs w:val="21"/>
        </w:rPr>
        <w:drawing>
          <wp:inline distT="0" distB="0" distL="0" distR="0">
            <wp:extent cx="3486150" cy="2533650"/>
            <wp:effectExtent l="19050" t="0" r="19050" b="0"/>
            <wp:docPr id="1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A5A96" w:rsidRPr="00FC6BB1" w:rsidRDefault="003A5A96" w:rsidP="00FC6BB1">
      <w:pPr>
        <w:pStyle w:val="a5"/>
        <w:spacing w:line="276" w:lineRule="auto"/>
        <w:jc w:val="center"/>
        <w:rPr>
          <w:rFonts w:ascii="Times New Roman" w:hAnsi="Times New Roman" w:cs="Times New Roman"/>
        </w:rPr>
      </w:pPr>
      <w:bookmarkStart w:id="2" w:name="_Ref475535812"/>
      <w:r w:rsidRPr="00FC6BB1">
        <w:rPr>
          <w:rFonts w:ascii="Times New Roman" w:cs="Times New Roman"/>
        </w:rPr>
        <w:t>图</w:t>
      </w:r>
      <w:r w:rsidRPr="00FC6BB1">
        <w:rPr>
          <w:rFonts w:ascii="Times New Roman" w:hAnsi="Times New Roman" w:cs="Times New Roman"/>
        </w:rPr>
        <w:t xml:space="preserve"> </w:t>
      </w:r>
      <w:r w:rsidR="00AF257A" w:rsidRPr="00FC6BB1">
        <w:rPr>
          <w:rFonts w:ascii="Times New Roman" w:hAnsi="Times New Roman" w:cs="Times New Roman"/>
        </w:rPr>
        <w:fldChar w:fldCharType="begin"/>
      </w:r>
      <w:r w:rsidR="00863E79" w:rsidRPr="00FC6BB1">
        <w:rPr>
          <w:rFonts w:ascii="Times New Roman" w:hAnsi="Times New Roman" w:cs="Times New Roman"/>
        </w:rPr>
        <w:instrText xml:space="preserve"> SEQ </w:instrText>
      </w:r>
      <w:r w:rsidR="00863E79" w:rsidRPr="00FC6BB1">
        <w:rPr>
          <w:rFonts w:ascii="Times New Roman" w:cs="Times New Roman"/>
        </w:rPr>
        <w:instrText>图</w:instrText>
      </w:r>
      <w:r w:rsidR="00863E79" w:rsidRPr="00FC6BB1">
        <w:rPr>
          <w:rFonts w:ascii="Times New Roman" w:hAnsi="Times New Roman" w:cs="Times New Roman"/>
        </w:rPr>
        <w:instrText xml:space="preserve"> \* ARABIC </w:instrText>
      </w:r>
      <w:r w:rsidR="00AF257A" w:rsidRPr="00FC6BB1">
        <w:rPr>
          <w:rFonts w:ascii="Times New Roman" w:hAnsi="Times New Roman" w:cs="Times New Roman"/>
        </w:rPr>
        <w:fldChar w:fldCharType="separate"/>
      </w:r>
      <w:r w:rsidR="00A36B80">
        <w:rPr>
          <w:rFonts w:ascii="Times New Roman" w:hAnsi="Times New Roman" w:cs="Times New Roman"/>
          <w:noProof/>
        </w:rPr>
        <w:t>1</w:t>
      </w:r>
      <w:r w:rsidR="00AF257A" w:rsidRPr="00FC6BB1">
        <w:rPr>
          <w:rFonts w:ascii="Times New Roman" w:hAnsi="Times New Roman" w:cs="Times New Roman"/>
        </w:rPr>
        <w:fldChar w:fldCharType="end"/>
      </w:r>
      <w:bookmarkEnd w:id="2"/>
      <w:r w:rsidRPr="00FC6BB1">
        <w:rPr>
          <w:rFonts w:ascii="Times New Roman" w:hAnsi="Times New Roman" w:cs="Times New Roman"/>
        </w:rPr>
        <w:t xml:space="preserve">. </w:t>
      </w:r>
      <w:r w:rsidR="00201609" w:rsidRPr="00FC6BB1">
        <w:rPr>
          <w:rFonts w:ascii="Times New Roman" w:cs="Times New Roman"/>
        </w:rPr>
        <w:t>截至</w:t>
      </w:r>
      <w:r w:rsidR="004F51E8" w:rsidRPr="00FC6BB1">
        <w:rPr>
          <w:rFonts w:ascii="Times New Roman" w:hAnsi="Times New Roman" w:cs="Times New Roman"/>
        </w:rPr>
        <w:t>201</w:t>
      </w:r>
      <w:r w:rsidR="00762E13" w:rsidRPr="00FC6BB1">
        <w:rPr>
          <w:rFonts w:ascii="Times New Roman" w:hAnsi="Times New Roman" w:cs="Times New Roman"/>
        </w:rPr>
        <w:t>8</w:t>
      </w:r>
      <w:r w:rsidR="00762E13" w:rsidRPr="00FC6BB1">
        <w:rPr>
          <w:rFonts w:ascii="Times New Roman" w:cs="Times New Roman"/>
        </w:rPr>
        <w:t>年第</w:t>
      </w:r>
      <w:r w:rsidR="005F0556">
        <w:rPr>
          <w:rFonts w:ascii="Times New Roman" w:cs="Times New Roman" w:hint="eastAsia"/>
        </w:rPr>
        <w:t>三</w:t>
      </w:r>
      <w:r w:rsidR="004F51E8" w:rsidRPr="00FC6BB1">
        <w:rPr>
          <w:rFonts w:ascii="Times New Roman" w:cs="Times New Roman"/>
        </w:rPr>
        <w:t>季度每百万人口报告数量与往年同期比较</w:t>
      </w:r>
    </w:p>
    <w:p w:rsidR="00201609" w:rsidRPr="00FC6BB1" w:rsidRDefault="00201609" w:rsidP="00FC6BB1">
      <w:pPr>
        <w:spacing w:line="276" w:lineRule="auto"/>
        <w:rPr>
          <w:rFonts w:ascii="Times New Roman" w:hAnsi="Times New Roman" w:cs="Times New Roman"/>
        </w:rPr>
      </w:pPr>
    </w:p>
    <w:p w:rsidR="003A5A96" w:rsidRPr="00FC6BB1" w:rsidRDefault="00A36B80" w:rsidP="00FC6BB1">
      <w:pPr>
        <w:widowControl/>
        <w:shd w:val="clear" w:color="auto" w:fill="FFFFFF"/>
        <w:spacing w:line="276" w:lineRule="auto"/>
        <w:ind w:firstLineChars="202" w:firstLine="424"/>
        <w:jc w:val="left"/>
        <w:outlineLvl w:val="0"/>
        <w:rPr>
          <w:rFonts w:ascii="Times New Roman" w:eastAsia="微软雅黑" w:hAnsi="Times New Roman" w:cs="Times New Roman"/>
          <w:kern w:val="0"/>
          <w:szCs w:val="21"/>
        </w:rPr>
      </w:pPr>
      <w:r>
        <w:rPr>
          <w:rFonts w:ascii="Times New Roman" w:eastAsia="微软雅黑" w:hAnsi="微软雅黑" w:cs="Times New Roman" w:hint="eastAsia"/>
          <w:b/>
          <w:bCs/>
          <w:kern w:val="0"/>
          <w:szCs w:val="21"/>
        </w:rPr>
        <w:t>2.</w:t>
      </w:r>
      <w:r w:rsidR="003A5A96" w:rsidRPr="00FC6BB1">
        <w:rPr>
          <w:rFonts w:ascii="Times New Roman" w:eastAsia="微软雅黑" w:hAnsi="微软雅黑" w:cs="Times New Roman"/>
          <w:b/>
          <w:bCs/>
          <w:kern w:val="0"/>
          <w:szCs w:val="21"/>
        </w:rPr>
        <w:t>注册基层用户数量</w:t>
      </w:r>
    </w:p>
    <w:p w:rsidR="003A5A96" w:rsidRPr="00FC6BB1" w:rsidRDefault="00FC6BB1" w:rsidP="00FC6BB1">
      <w:pPr>
        <w:spacing w:line="276" w:lineRule="auto"/>
        <w:ind w:firstLineChars="202" w:firstLine="424"/>
        <w:rPr>
          <w:rFonts w:ascii="Times New Roman" w:hAnsi="Times New Roman" w:cs="Times New Roman"/>
          <w:kern w:val="0"/>
        </w:rPr>
      </w:pPr>
      <w:r w:rsidRPr="00FC6BB1">
        <w:rPr>
          <w:rFonts w:ascii="Times New Roman" w:hAnsi="Times New Roman" w:cs="Times New Roman"/>
          <w:kern w:val="0"/>
        </w:rPr>
        <w:t>2018</w:t>
      </w:r>
      <w:r w:rsidRPr="00FC6BB1">
        <w:rPr>
          <w:rFonts w:ascii="Times New Roman" w:hAnsiTheme="minorEastAsia" w:cs="Times New Roman"/>
          <w:kern w:val="0"/>
        </w:rPr>
        <w:t>年第</w:t>
      </w:r>
      <w:r w:rsidR="00425793">
        <w:rPr>
          <w:rFonts w:ascii="Times New Roman" w:hAnsiTheme="minorEastAsia" w:cs="Times New Roman" w:hint="eastAsia"/>
          <w:kern w:val="0"/>
        </w:rPr>
        <w:t>三</w:t>
      </w:r>
      <w:r w:rsidRPr="00FC6BB1">
        <w:rPr>
          <w:rFonts w:ascii="Times New Roman" w:hAnsiTheme="minorEastAsia" w:cs="Times New Roman"/>
          <w:kern w:val="0"/>
        </w:rPr>
        <w:t>季度，本市有</w:t>
      </w:r>
      <w:r w:rsidR="005F0556">
        <w:rPr>
          <w:rFonts w:ascii="Times New Roman" w:hAnsiTheme="minorEastAsia" w:cs="Times New Roman" w:hint="eastAsia"/>
          <w:kern w:val="0"/>
        </w:rPr>
        <w:t>19851</w:t>
      </w:r>
      <w:r w:rsidRPr="00FC6BB1">
        <w:rPr>
          <w:rFonts w:ascii="Times New Roman" w:hAnsiTheme="minorEastAsia" w:cs="Times New Roman"/>
          <w:kern w:val="0"/>
        </w:rPr>
        <w:t>家单位在</w:t>
      </w:r>
      <w:r w:rsidRPr="00FC6BB1">
        <w:rPr>
          <w:rFonts w:ascii="Times New Roman" w:hAnsi="Times New Roman" w:cs="Times New Roman"/>
          <w:kern w:val="0"/>
        </w:rPr>
        <w:t>“</w:t>
      </w:r>
      <w:r w:rsidRPr="00FC6BB1">
        <w:rPr>
          <w:rFonts w:ascii="Times New Roman" w:hAnsiTheme="minorEastAsia" w:cs="Times New Roman"/>
          <w:kern w:val="0"/>
        </w:rPr>
        <w:t>国家药品不良反应监测系统</w:t>
      </w:r>
      <w:r w:rsidRPr="00FC6BB1">
        <w:rPr>
          <w:rFonts w:ascii="Times New Roman" w:hAnsi="Times New Roman" w:cs="Times New Roman"/>
          <w:kern w:val="0"/>
        </w:rPr>
        <w:t>”</w:t>
      </w:r>
      <w:r w:rsidRPr="00FC6BB1">
        <w:rPr>
          <w:rFonts w:ascii="Times New Roman" w:hAnsiTheme="minorEastAsia" w:cs="Times New Roman"/>
          <w:kern w:val="0"/>
        </w:rPr>
        <w:t>中注册，比上一季度新增</w:t>
      </w:r>
      <w:r w:rsidR="005F0556">
        <w:rPr>
          <w:rFonts w:ascii="Times New Roman" w:hAnsi="Times New Roman" w:cs="Times New Roman" w:hint="eastAsia"/>
          <w:kern w:val="0"/>
        </w:rPr>
        <w:t>372</w:t>
      </w:r>
      <w:r w:rsidRPr="00FC6BB1">
        <w:rPr>
          <w:rFonts w:ascii="Times New Roman" w:hAnsiTheme="minorEastAsia" w:cs="Times New Roman"/>
          <w:kern w:val="0"/>
        </w:rPr>
        <w:t>家。其中注册的生产企业</w:t>
      </w:r>
      <w:r w:rsidR="00425793">
        <w:rPr>
          <w:rFonts w:ascii="Times New Roman" w:hAnsiTheme="minorEastAsia" w:cs="Times New Roman" w:hint="eastAsia"/>
          <w:kern w:val="0"/>
        </w:rPr>
        <w:t>1252</w:t>
      </w:r>
      <w:r w:rsidRPr="00FC6BB1">
        <w:rPr>
          <w:rFonts w:ascii="Times New Roman" w:hAnsiTheme="minorEastAsia" w:cs="Times New Roman"/>
          <w:kern w:val="0"/>
        </w:rPr>
        <w:t>，占</w:t>
      </w:r>
      <w:r w:rsidR="005F0556">
        <w:rPr>
          <w:rFonts w:ascii="Times New Roman" w:hAnsi="Times New Roman" w:cs="Times New Roman"/>
          <w:kern w:val="0"/>
        </w:rPr>
        <w:t>6.</w:t>
      </w:r>
      <w:r w:rsidR="005F0556">
        <w:rPr>
          <w:rFonts w:ascii="Times New Roman" w:hAnsi="Times New Roman" w:cs="Times New Roman" w:hint="eastAsia"/>
          <w:kern w:val="0"/>
        </w:rPr>
        <w:t>31</w:t>
      </w:r>
      <w:r w:rsidRPr="00FC6BB1">
        <w:rPr>
          <w:rFonts w:ascii="Times New Roman" w:hAnsi="Times New Roman" w:cs="Times New Roman"/>
          <w:kern w:val="0"/>
        </w:rPr>
        <w:t>%</w:t>
      </w:r>
      <w:r w:rsidRPr="00FC6BB1">
        <w:rPr>
          <w:rFonts w:ascii="Times New Roman" w:hAnsiTheme="minorEastAsia" w:cs="Times New Roman"/>
          <w:kern w:val="0"/>
        </w:rPr>
        <w:t>；</w:t>
      </w:r>
      <w:r w:rsidRPr="00FC6BB1">
        <w:rPr>
          <w:rFonts w:ascii="Times New Roman" w:hAnsi="Times New Roman" w:cs="Times New Roman"/>
          <w:kern w:val="0"/>
        </w:rPr>
        <w:t xml:space="preserve"> </w:t>
      </w:r>
      <w:r w:rsidRPr="00FC6BB1">
        <w:rPr>
          <w:rFonts w:ascii="Times New Roman" w:hAnsiTheme="minorEastAsia" w:cs="Times New Roman"/>
          <w:kern w:val="0"/>
        </w:rPr>
        <w:t>经营企业</w:t>
      </w:r>
      <w:r w:rsidR="00425793">
        <w:rPr>
          <w:rFonts w:ascii="Times New Roman" w:hAnsiTheme="minorEastAsia" w:cs="Times New Roman" w:hint="eastAsia"/>
          <w:kern w:val="0"/>
        </w:rPr>
        <w:t>17436</w:t>
      </w:r>
      <w:r w:rsidRPr="00FC6BB1">
        <w:rPr>
          <w:rFonts w:ascii="Times New Roman" w:hAnsiTheme="minorEastAsia" w:cs="Times New Roman"/>
          <w:kern w:val="0"/>
        </w:rPr>
        <w:t>家，占</w:t>
      </w:r>
      <w:r w:rsidR="005F0556">
        <w:rPr>
          <w:rFonts w:ascii="Times New Roman" w:hAnsi="Times New Roman" w:cs="Times New Roman" w:hint="eastAsia"/>
          <w:kern w:val="0"/>
        </w:rPr>
        <w:t>87.83</w:t>
      </w:r>
      <w:r w:rsidRPr="00FC6BB1">
        <w:rPr>
          <w:rFonts w:ascii="Times New Roman" w:hAnsi="Times New Roman" w:cs="Times New Roman"/>
          <w:kern w:val="0"/>
        </w:rPr>
        <w:t>%</w:t>
      </w:r>
      <w:r w:rsidRPr="00FC6BB1">
        <w:rPr>
          <w:rFonts w:ascii="Times New Roman" w:hAnsiTheme="minorEastAsia" w:cs="Times New Roman"/>
          <w:kern w:val="0"/>
        </w:rPr>
        <w:t>；使用单位</w:t>
      </w:r>
      <w:r w:rsidR="00425793">
        <w:rPr>
          <w:rFonts w:ascii="Times New Roman" w:hAnsiTheme="minorEastAsia" w:cs="Times New Roman" w:hint="eastAsia"/>
          <w:kern w:val="0"/>
        </w:rPr>
        <w:t>1163</w:t>
      </w:r>
      <w:r w:rsidRPr="00FC6BB1">
        <w:rPr>
          <w:rFonts w:ascii="Times New Roman" w:hAnsiTheme="minorEastAsia" w:cs="Times New Roman"/>
          <w:kern w:val="0"/>
        </w:rPr>
        <w:t>家，占</w:t>
      </w:r>
      <w:r w:rsidR="005F0556">
        <w:rPr>
          <w:rFonts w:ascii="Times New Roman" w:hAnsi="Times New Roman" w:cs="Times New Roman" w:hint="eastAsia"/>
          <w:kern w:val="0"/>
        </w:rPr>
        <w:t>5.86</w:t>
      </w:r>
      <w:r w:rsidRPr="00FC6BB1">
        <w:rPr>
          <w:rFonts w:ascii="Times New Roman" w:hAnsi="Times New Roman" w:cs="Times New Roman"/>
          <w:kern w:val="0"/>
        </w:rPr>
        <w:t>%</w:t>
      </w:r>
      <w:r w:rsidR="003A5A96" w:rsidRPr="00FC6BB1">
        <w:rPr>
          <w:rFonts w:ascii="Times New Roman" w:hAnsiTheme="minorEastAsia" w:cs="Times New Roman"/>
          <w:kern w:val="0"/>
        </w:rPr>
        <w:t>（</w:t>
      </w:r>
      <w:fldSimple w:instr=" REF _Ref475535818 \h  \* MERGEFORMAT ">
        <w:r w:rsidR="00A36B80" w:rsidRPr="00A36B80">
          <w:rPr>
            <w:rFonts w:ascii="Times New Roman" w:hAnsiTheme="minorEastAsia" w:cs="Times New Roman"/>
            <w:kern w:val="0"/>
          </w:rPr>
          <w:t>图</w:t>
        </w:r>
        <w:r w:rsidR="00A36B80" w:rsidRPr="00A36B80">
          <w:rPr>
            <w:rFonts w:ascii="Times New Roman" w:hAnsi="Times New Roman" w:cs="Times New Roman"/>
            <w:kern w:val="0"/>
          </w:rPr>
          <w:t xml:space="preserve"> 2</w:t>
        </w:r>
      </w:fldSimple>
      <w:r w:rsidR="003A5A96" w:rsidRPr="00FC6BB1">
        <w:rPr>
          <w:rFonts w:ascii="Times New Roman" w:hAnsiTheme="minorEastAsia" w:cs="Times New Roman"/>
          <w:kern w:val="0"/>
        </w:rPr>
        <w:t>）。</w:t>
      </w:r>
      <w:r w:rsidR="00D35B3F" w:rsidRPr="00FC6BB1">
        <w:rPr>
          <w:rFonts w:ascii="Times New Roman" w:hAnsiTheme="minorEastAsia" w:cs="Times New Roman"/>
          <w:kern w:val="0"/>
        </w:rPr>
        <w:t>注册用户的结构与上一季度基本一致。</w:t>
      </w:r>
    </w:p>
    <w:p w:rsidR="003A5A96" w:rsidRPr="00FC6BB1" w:rsidRDefault="005F0556" w:rsidP="00FC6BB1">
      <w:pPr>
        <w:widowControl/>
        <w:shd w:val="clear" w:color="auto" w:fill="FFFFFF"/>
        <w:spacing w:line="276" w:lineRule="auto"/>
        <w:jc w:val="center"/>
        <w:rPr>
          <w:rFonts w:ascii="Times New Roman" w:eastAsia="微软雅黑" w:hAnsi="Times New Roman" w:cs="Times New Roman"/>
          <w:kern w:val="0"/>
          <w:szCs w:val="21"/>
        </w:rPr>
      </w:pPr>
      <w:r w:rsidRPr="005F0556">
        <w:rPr>
          <w:rFonts w:ascii="Times New Roman" w:eastAsia="微软雅黑" w:hAnsi="Times New Roman" w:cs="Times New Roman"/>
          <w:noProof/>
          <w:kern w:val="0"/>
          <w:szCs w:val="21"/>
        </w:rPr>
        <w:drawing>
          <wp:inline distT="0" distB="0" distL="0" distR="0">
            <wp:extent cx="4029075" cy="2609850"/>
            <wp:effectExtent l="19050" t="0" r="9525" b="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5B3F" w:rsidRPr="009E2ED8" w:rsidRDefault="003A5A96" w:rsidP="009E2ED8">
      <w:pPr>
        <w:pStyle w:val="a5"/>
        <w:spacing w:line="276" w:lineRule="auto"/>
        <w:jc w:val="center"/>
        <w:rPr>
          <w:rFonts w:ascii="Times New Roman" w:eastAsia="微软雅黑" w:hAnsi="Times New Roman" w:cs="Times New Roman"/>
          <w:kern w:val="0"/>
          <w:szCs w:val="21"/>
        </w:rPr>
      </w:pPr>
      <w:bookmarkStart w:id="3" w:name="_Ref475535818"/>
      <w:r w:rsidRPr="00FC6BB1">
        <w:rPr>
          <w:rFonts w:ascii="Times New Roman" w:cs="Times New Roman"/>
        </w:rPr>
        <w:t>图</w:t>
      </w:r>
      <w:r w:rsidRPr="00FC6BB1">
        <w:rPr>
          <w:rFonts w:ascii="Times New Roman" w:hAnsi="Times New Roman" w:cs="Times New Roman"/>
        </w:rPr>
        <w:t xml:space="preserve"> </w:t>
      </w:r>
      <w:r w:rsidR="00AF257A" w:rsidRPr="00FC6BB1">
        <w:rPr>
          <w:rFonts w:ascii="Times New Roman" w:hAnsi="Times New Roman" w:cs="Times New Roman"/>
        </w:rPr>
        <w:fldChar w:fldCharType="begin"/>
      </w:r>
      <w:r w:rsidR="00863E79" w:rsidRPr="00FC6BB1">
        <w:rPr>
          <w:rFonts w:ascii="Times New Roman" w:hAnsi="Times New Roman" w:cs="Times New Roman"/>
        </w:rPr>
        <w:instrText xml:space="preserve"> SEQ </w:instrText>
      </w:r>
      <w:r w:rsidR="00863E79" w:rsidRPr="00FC6BB1">
        <w:rPr>
          <w:rFonts w:ascii="Times New Roman" w:cs="Times New Roman"/>
        </w:rPr>
        <w:instrText>图</w:instrText>
      </w:r>
      <w:r w:rsidR="00863E79" w:rsidRPr="00FC6BB1">
        <w:rPr>
          <w:rFonts w:ascii="Times New Roman" w:hAnsi="Times New Roman" w:cs="Times New Roman"/>
        </w:rPr>
        <w:instrText xml:space="preserve"> \* ARABIC </w:instrText>
      </w:r>
      <w:r w:rsidR="00AF257A" w:rsidRPr="00FC6BB1">
        <w:rPr>
          <w:rFonts w:ascii="Times New Roman" w:hAnsi="Times New Roman" w:cs="Times New Roman"/>
        </w:rPr>
        <w:fldChar w:fldCharType="separate"/>
      </w:r>
      <w:r w:rsidR="00A36B80">
        <w:rPr>
          <w:rFonts w:ascii="Times New Roman" w:hAnsi="Times New Roman" w:cs="Times New Roman"/>
          <w:noProof/>
        </w:rPr>
        <w:t>2</w:t>
      </w:r>
      <w:r w:rsidR="00AF257A" w:rsidRPr="00FC6BB1">
        <w:rPr>
          <w:rFonts w:ascii="Times New Roman" w:hAnsi="Times New Roman" w:cs="Times New Roman"/>
        </w:rPr>
        <w:fldChar w:fldCharType="end"/>
      </w:r>
      <w:bookmarkEnd w:id="3"/>
      <w:r w:rsidRPr="00FC6BB1">
        <w:rPr>
          <w:rFonts w:ascii="Times New Roman" w:hAnsi="Times New Roman" w:cs="Times New Roman"/>
        </w:rPr>
        <w:t xml:space="preserve">. </w:t>
      </w:r>
      <w:r w:rsidR="00D01B7E" w:rsidRPr="00FC6BB1">
        <w:rPr>
          <w:rFonts w:ascii="Times New Roman" w:eastAsia="微软雅黑" w:hAnsi="Times New Roman" w:cs="Times New Roman"/>
          <w:kern w:val="0"/>
          <w:szCs w:val="21"/>
        </w:rPr>
        <w:t>201</w:t>
      </w:r>
      <w:r w:rsidR="00CC59A6" w:rsidRPr="00FC6BB1">
        <w:rPr>
          <w:rFonts w:ascii="Times New Roman" w:eastAsia="微软雅黑" w:hAnsi="Times New Roman" w:cs="Times New Roman"/>
          <w:kern w:val="0"/>
          <w:szCs w:val="21"/>
        </w:rPr>
        <w:t>8</w:t>
      </w:r>
      <w:r w:rsidRPr="00FC6BB1">
        <w:rPr>
          <w:rFonts w:ascii="Times New Roman" w:eastAsia="微软雅黑" w:hAnsi="微软雅黑" w:cs="Times New Roman"/>
          <w:kern w:val="0"/>
          <w:szCs w:val="21"/>
        </w:rPr>
        <w:t>年</w:t>
      </w:r>
      <w:r w:rsidR="00CC59A6" w:rsidRPr="00FC6BB1">
        <w:rPr>
          <w:rFonts w:ascii="Times New Roman" w:eastAsia="微软雅黑" w:hAnsi="微软雅黑" w:cs="Times New Roman"/>
          <w:kern w:val="0"/>
          <w:szCs w:val="21"/>
        </w:rPr>
        <w:t>第</w:t>
      </w:r>
      <w:r w:rsidR="005F0556">
        <w:rPr>
          <w:rFonts w:ascii="Times New Roman" w:eastAsia="微软雅黑" w:hAnsi="微软雅黑" w:cs="Times New Roman" w:hint="eastAsia"/>
          <w:kern w:val="0"/>
          <w:szCs w:val="21"/>
        </w:rPr>
        <w:t>三</w:t>
      </w:r>
      <w:r w:rsidR="00D01B7E" w:rsidRPr="00FC6BB1">
        <w:rPr>
          <w:rFonts w:ascii="Times New Roman" w:eastAsia="微软雅黑" w:hAnsi="微软雅黑" w:cs="Times New Roman"/>
          <w:kern w:val="0"/>
          <w:szCs w:val="21"/>
        </w:rPr>
        <w:t>季</w:t>
      </w:r>
      <w:r w:rsidRPr="00FC6BB1">
        <w:rPr>
          <w:rFonts w:ascii="Times New Roman" w:eastAsia="微软雅黑" w:hAnsi="微软雅黑" w:cs="Times New Roman"/>
          <w:kern w:val="0"/>
          <w:szCs w:val="21"/>
        </w:rPr>
        <w:t>度监测网络基层用户注册构成情况</w:t>
      </w:r>
    </w:p>
    <w:p w:rsidR="003A5A96" w:rsidRPr="00FC6BB1" w:rsidRDefault="00A36B80" w:rsidP="00FC6BB1">
      <w:pPr>
        <w:widowControl/>
        <w:shd w:val="clear" w:color="auto" w:fill="FFFFFF"/>
        <w:spacing w:line="276" w:lineRule="auto"/>
        <w:ind w:firstLineChars="202" w:firstLine="424"/>
        <w:jc w:val="left"/>
        <w:outlineLvl w:val="0"/>
        <w:rPr>
          <w:rFonts w:ascii="Times New Roman" w:eastAsia="微软雅黑" w:hAnsi="Times New Roman" w:cs="Times New Roman"/>
          <w:kern w:val="0"/>
          <w:szCs w:val="21"/>
        </w:rPr>
      </w:pPr>
      <w:r>
        <w:rPr>
          <w:rFonts w:ascii="Times New Roman" w:eastAsia="微软雅黑" w:hAnsi="微软雅黑" w:cs="Times New Roman" w:hint="eastAsia"/>
          <w:b/>
          <w:bCs/>
          <w:kern w:val="0"/>
          <w:szCs w:val="21"/>
        </w:rPr>
        <w:lastRenderedPageBreak/>
        <w:t>3.</w:t>
      </w:r>
      <w:r w:rsidR="003A5A96" w:rsidRPr="00FC6BB1">
        <w:rPr>
          <w:rFonts w:ascii="Times New Roman" w:eastAsia="微软雅黑" w:hAnsi="微软雅黑" w:cs="Times New Roman"/>
          <w:b/>
          <w:bCs/>
          <w:kern w:val="0"/>
          <w:szCs w:val="21"/>
        </w:rPr>
        <w:t>报告来源分析</w:t>
      </w:r>
    </w:p>
    <w:p w:rsidR="001F64FE" w:rsidRPr="00FC6BB1" w:rsidRDefault="00FC6BB1" w:rsidP="00FC6BB1">
      <w:pPr>
        <w:spacing w:line="276" w:lineRule="auto"/>
        <w:ind w:firstLineChars="202" w:firstLine="424"/>
        <w:rPr>
          <w:rFonts w:ascii="Times New Roman" w:hAnsi="Times New Roman" w:cs="Times New Roman"/>
          <w:kern w:val="0"/>
        </w:rPr>
      </w:pPr>
      <w:r w:rsidRPr="00FC6BB1">
        <w:rPr>
          <w:rFonts w:ascii="Times New Roman" w:hAnsi="Times New Roman" w:cs="Times New Roman"/>
          <w:kern w:val="0"/>
        </w:rPr>
        <w:t>2018</w:t>
      </w:r>
      <w:r w:rsidR="009E2ED8">
        <w:rPr>
          <w:rFonts w:ascii="Times New Roman" w:hAnsiTheme="minorEastAsia" w:cs="Times New Roman"/>
          <w:kern w:val="0"/>
        </w:rPr>
        <w:t>年第</w:t>
      </w:r>
      <w:r w:rsidR="009E2ED8">
        <w:rPr>
          <w:rFonts w:ascii="Times New Roman" w:hAnsiTheme="minorEastAsia" w:cs="Times New Roman" w:hint="eastAsia"/>
          <w:kern w:val="0"/>
        </w:rPr>
        <w:t>三</w:t>
      </w:r>
      <w:r w:rsidRPr="00FC6BB1">
        <w:rPr>
          <w:rFonts w:ascii="Times New Roman" w:hAnsiTheme="minorEastAsia" w:cs="Times New Roman"/>
          <w:kern w:val="0"/>
        </w:rPr>
        <w:t>季度可疑医疗器械不良事件报告中，生产企业上报</w:t>
      </w:r>
      <w:r w:rsidR="009E2ED8">
        <w:rPr>
          <w:rFonts w:ascii="Times New Roman" w:hAnsi="Times New Roman" w:cs="Times New Roman" w:hint="eastAsia"/>
          <w:kern w:val="0"/>
        </w:rPr>
        <w:t>1403</w:t>
      </w:r>
      <w:r w:rsidRPr="00FC6BB1">
        <w:rPr>
          <w:rFonts w:ascii="Times New Roman" w:hAnsiTheme="minorEastAsia" w:cs="Times New Roman"/>
          <w:kern w:val="0"/>
        </w:rPr>
        <w:t>份，占</w:t>
      </w:r>
      <w:r w:rsidR="009E2ED8">
        <w:rPr>
          <w:rFonts w:ascii="Times New Roman" w:hAnsi="Times New Roman" w:cs="Times New Roman" w:hint="eastAsia"/>
          <w:kern w:val="0"/>
        </w:rPr>
        <w:t>55.15</w:t>
      </w:r>
      <w:r w:rsidRPr="00FC6BB1">
        <w:rPr>
          <w:rFonts w:ascii="Times New Roman" w:hAnsi="Times New Roman" w:cs="Times New Roman"/>
          <w:kern w:val="0"/>
        </w:rPr>
        <w:t>%</w:t>
      </w:r>
      <w:r w:rsidRPr="00FC6BB1">
        <w:rPr>
          <w:rFonts w:ascii="Times New Roman" w:hAnsiTheme="minorEastAsia" w:cs="Times New Roman"/>
          <w:kern w:val="0"/>
        </w:rPr>
        <w:t>；经营企业上报</w:t>
      </w:r>
      <w:r w:rsidR="009E2ED8">
        <w:rPr>
          <w:rFonts w:ascii="Times New Roman" w:hAnsi="Times New Roman" w:cs="Times New Roman" w:hint="eastAsia"/>
          <w:kern w:val="0"/>
        </w:rPr>
        <w:t>321</w:t>
      </w:r>
      <w:r w:rsidRPr="00FC6BB1">
        <w:rPr>
          <w:rFonts w:ascii="Times New Roman" w:hAnsiTheme="minorEastAsia" w:cs="Times New Roman"/>
          <w:kern w:val="0"/>
        </w:rPr>
        <w:t>份，占</w:t>
      </w:r>
      <w:r w:rsidR="00E0101F">
        <w:rPr>
          <w:rFonts w:ascii="Times New Roman" w:hAnsi="Times New Roman" w:cs="Times New Roman" w:hint="eastAsia"/>
          <w:kern w:val="0"/>
        </w:rPr>
        <w:t>12.62</w:t>
      </w:r>
      <w:r w:rsidRPr="00FC6BB1">
        <w:rPr>
          <w:rFonts w:ascii="Times New Roman" w:hAnsi="Times New Roman" w:cs="Times New Roman"/>
          <w:kern w:val="0"/>
        </w:rPr>
        <w:t>%</w:t>
      </w:r>
      <w:r w:rsidRPr="00FC6BB1">
        <w:rPr>
          <w:rFonts w:ascii="Times New Roman" w:hAnsiTheme="minorEastAsia" w:cs="Times New Roman"/>
          <w:kern w:val="0"/>
        </w:rPr>
        <w:t>；使用单位上报</w:t>
      </w:r>
      <w:r w:rsidR="00E0101F">
        <w:rPr>
          <w:rFonts w:ascii="Times New Roman" w:hAnsi="Times New Roman" w:cs="Times New Roman" w:hint="eastAsia"/>
          <w:kern w:val="0"/>
        </w:rPr>
        <w:t>820</w:t>
      </w:r>
      <w:r w:rsidRPr="00FC6BB1">
        <w:rPr>
          <w:rFonts w:ascii="Times New Roman" w:hAnsiTheme="minorEastAsia" w:cs="Times New Roman"/>
          <w:kern w:val="0"/>
        </w:rPr>
        <w:t>份，占</w:t>
      </w:r>
      <w:r w:rsidR="00E0101F">
        <w:rPr>
          <w:rFonts w:ascii="Times New Roman" w:hAnsi="Times New Roman" w:cs="Times New Roman" w:hint="eastAsia"/>
          <w:kern w:val="0"/>
        </w:rPr>
        <w:t>32.23</w:t>
      </w:r>
      <w:r w:rsidRPr="00FC6BB1">
        <w:rPr>
          <w:rFonts w:ascii="Times New Roman" w:hAnsi="Times New Roman" w:cs="Times New Roman"/>
          <w:kern w:val="0"/>
        </w:rPr>
        <w:t>%</w:t>
      </w:r>
      <w:r w:rsidR="003A5A96" w:rsidRPr="00FC6BB1">
        <w:rPr>
          <w:rFonts w:ascii="Times New Roman" w:hAnsiTheme="minorEastAsia" w:cs="Times New Roman"/>
          <w:kern w:val="0"/>
        </w:rPr>
        <w:t>（</w:t>
      </w:r>
      <w:fldSimple w:instr=" REF _Ref475535825 \h  \* MERGEFORMAT ">
        <w:r w:rsidR="00A36B80" w:rsidRPr="00A36B80">
          <w:rPr>
            <w:rFonts w:ascii="Times New Roman" w:hAnsiTheme="minorEastAsia" w:cs="Times New Roman"/>
            <w:kern w:val="0"/>
          </w:rPr>
          <w:t>图</w:t>
        </w:r>
        <w:r w:rsidR="00A36B80" w:rsidRPr="00A36B80">
          <w:rPr>
            <w:rFonts w:ascii="Times New Roman" w:hAnsi="Times New Roman" w:cs="Times New Roman"/>
            <w:kern w:val="0"/>
          </w:rPr>
          <w:t xml:space="preserve"> 3</w:t>
        </w:r>
      </w:fldSimple>
      <w:r w:rsidR="003A5A96" w:rsidRPr="00FC6BB1">
        <w:rPr>
          <w:rFonts w:ascii="Times New Roman" w:hAnsiTheme="minorEastAsia" w:cs="Times New Roman"/>
          <w:kern w:val="0"/>
        </w:rPr>
        <w:t>）。</w:t>
      </w:r>
      <w:r w:rsidR="00D35B3F" w:rsidRPr="00FC6BB1">
        <w:rPr>
          <w:rFonts w:ascii="Times New Roman" w:hAnsiTheme="minorEastAsia" w:cs="Times New Roman"/>
          <w:kern w:val="0"/>
        </w:rPr>
        <w:t>同</w:t>
      </w:r>
      <w:r w:rsidR="00BF4567" w:rsidRPr="00FC6BB1">
        <w:rPr>
          <w:rFonts w:ascii="Times New Roman" w:hAnsiTheme="minorEastAsia" w:cs="Times New Roman"/>
          <w:kern w:val="0"/>
        </w:rPr>
        <w:t>上一季度相比，</w:t>
      </w:r>
      <w:r w:rsidR="00E0101F">
        <w:rPr>
          <w:rFonts w:ascii="Times New Roman" w:hAnsiTheme="minorEastAsia" w:cs="Times New Roman" w:hint="eastAsia"/>
          <w:kern w:val="0"/>
        </w:rPr>
        <w:t>经营</w:t>
      </w:r>
      <w:r w:rsidR="00BB1DA3" w:rsidRPr="00FC6BB1">
        <w:rPr>
          <w:rFonts w:ascii="Times New Roman" w:hAnsiTheme="minorEastAsia" w:cs="Times New Roman"/>
          <w:kern w:val="0"/>
        </w:rPr>
        <w:t>企业的上报比例有所</w:t>
      </w:r>
      <w:r w:rsidR="00E0101F">
        <w:rPr>
          <w:rFonts w:ascii="Times New Roman" w:hAnsiTheme="minorEastAsia" w:cs="Times New Roman" w:hint="eastAsia"/>
          <w:kern w:val="0"/>
        </w:rPr>
        <w:t>上升</w:t>
      </w:r>
      <w:r w:rsidR="00BB1DA3" w:rsidRPr="00FC6BB1">
        <w:rPr>
          <w:rFonts w:ascii="Times New Roman" w:hAnsiTheme="minorEastAsia" w:cs="Times New Roman"/>
          <w:kern w:val="0"/>
        </w:rPr>
        <w:t>。</w:t>
      </w:r>
    </w:p>
    <w:p w:rsidR="003A5A96" w:rsidRPr="00FC6BB1" w:rsidRDefault="009E2ED8" w:rsidP="00FC6BB1">
      <w:pPr>
        <w:widowControl/>
        <w:shd w:val="clear" w:color="auto" w:fill="FFFFFF"/>
        <w:spacing w:line="276" w:lineRule="auto"/>
        <w:jc w:val="center"/>
        <w:rPr>
          <w:rFonts w:ascii="Times New Roman" w:eastAsia="微软雅黑" w:hAnsi="Times New Roman" w:cs="Times New Roman"/>
          <w:kern w:val="0"/>
          <w:szCs w:val="21"/>
        </w:rPr>
      </w:pPr>
      <w:r w:rsidRPr="009E2ED8">
        <w:rPr>
          <w:rFonts w:ascii="Times New Roman" w:eastAsia="微软雅黑" w:hAnsi="Times New Roman" w:cs="Times New Roman"/>
          <w:noProof/>
          <w:kern w:val="0"/>
          <w:szCs w:val="21"/>
        </w:rPr>
        <w:drawing>
          <wp:inline distT="0" distB="0" distL="0" distR="0">
            <wp:extent cx="4572000" cy="2743200"/>
            <wp:effectExtent l="19050" t="0" r="19050" b="0"/>
            <wp:docPr id="1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5A96" w:rsidRPr="00EB6943" w:rsidRDefault="003A5A96" w:rsidP="00FC6BB1">
      <w:pPr>
        <w:pStyle w:val="a5"/>
        <w:spacing w:line="276" w:lineRule="auto"/>
        <w:jc w:val="center"/>
        <w:rPr>
          <w:rFonts w:ascii="Times New Roman" w:eastAsia="微软雅黑" w:hAnsi="Times New Roman" w:cs="Times New Roman"/>
          <w:kern w:val="0"/>
          <w:szCs w:val="21"/>
        </w:rPr>
      </w:pPr>
      <w:bookmarkStart w:id="4" w:name="_Ref475535825"/>
      <w:r w:rsidRPr="00EB6943">
        <w:rPr>
          <w:rFonts w:ascii="Times New Roman" w:cs="Times New Roman"/>
        </w:rPr>
        <w:t>图</w:t>
      </w:r>
      <w:r w:rsidRPr="00EB6943">
        <w:rPr>
          <w:rFonts w:ascii="Times New Roman" w:hAnsi="Times New Roman" w:cs="Times New Roman"/>
        </w:rPr>
        <w:t xml:space="preserve"> </w:t>
      </w:r>
      <w:r w:rsidR="00AF257A" w:rsidRPr="00EB6943">
        <w:rPr>
          <w:rFonts w:ascii="Times New Roman" w:hAnsi="Times New Roman" w:cs="Times New Roman"/>
        </w:rPr>
        <w:fldChar w:fldCharType="begin"/>
      </w:r>
      <w:r w:rsidR="00863E79" w:rsidRPr="00EB6943">
        <w:rPr>
          <w:rFonts w:ascii="Times New Roman" w:hAnsi="Times New Roman" w:cs="Times New Roman"/>
        </w:rPr>
        <w:instrText xml:space="preserve"> SEQ </w:instrText>
      </w:r>
      <w:r w:rsidR="00863E79" w:rsidRPr="00EB6943">
        <w:rPr>
          <w:rFonts w:ascii="Times New Roman" w:cs="Times New Roman"/>
        </w:rPr>
        <w:instrText>图</w:instrText>
      </w:r>
      <w:r w:rsidR="00863E79" w:rsidRPr="00EB6943">
        <w:rPr>
          <w:rFonts w:ascii="Times New Roman" w:hAnsi="Times New Roman" w:cs="Times New Roman"/>
        </w:rPr>
        <w:instrText xml:space="preserve"> \* ARABIC </w:instrText>
      </w:r>
      <w:r w:rsidR="00AF257A" w:rsidRPr="00EB6943">
        <w:rPr>
          <w:rFonts w:ascii="Times New Roman" w:hAnsi="Times New Roman" w:cs="Times New Roman"/>
        </w:rPr>
        <w:fldChar w:fldCharType="separate"/>
      </w:r>
      <w:r w:rsidR="00A36B80">
        <w:rPr>
          <w:rFonts w:ascii="Times New Roman" w:hAnsi="Times New Roman" w:cs="Times New Roman"/>
          <w:noProof/>
        </w:rPr>
        <w:t>3</w:t>
      </w:r>
      <w:r w:rsidR="00AF257A" w:rsidRPr="00EB6943">
        <w:rPr>
          <w:rFonts w:ascii="Times New Roman" w:hAnsi="Times New Roman" w:cs="Times New Roman"/>
        </w:rPr>
        <w:fldChar w:fldCharType="end"/>
      </w:r>
      <w:bookmarkEnd w:id="4"/>
      <w:r w:rsidRPr="00EB6943">
        <w:rPr>
          <w:rFonts w:ascii="Times New Roman" w:hAnsi="Times New Roman" w:cs="Times New Roman"/>
        </w:rPr>
        <w:t xml:space="preserve">. </w:t>
      </w:r>
      <w:r w:rsidR="001F64FE" w:rsidRPr="00EB6943">
        <w:rPr>
          <w:rFonts w:ascii="Times New Roman" w:eastAsia="微软雅黑" w:hAnsi="Times New Roman" w:cs="Times New Roman"/>
          <w:kern w:val="0"/>
          <w:szCs w:val="21"/>
        </w:rPr>
        <w:t>201</w:t>
      </w:r>
      <w:r w:rsidR="00CC59A6" w:rsidRPr="00EB6943">
        <w:rPr>
          <w:rFonts w:ascii="Times New Roman" w:eastAsia="微软雅黑" w:hAnsi="Times New Roman" w:cs="Times New Roman"/>
          <w:kern w:val="0"/>
          <w:szCs w:val="21"/>
        </w:rPr>
        <w:t>8</w:t>
      </w:r>
      <w:r w:rsidRPr="00EB6943">
        <w:rPr>
          <w:rFonts w:ascii="Times New Roman" w:eastAsia="微软雅黑" w:hAnsi="微软雅黑" w:cs="Times New Roman"/>
          <w:kern w:val="0"/>
          <w:szCs w:val="21"/>
        </w:rPr>
        <w:t>年</w:t>
      </w:r>
      <w:r w:rsidR="00CC59A6" w:rsidRPr="00EB6943">
        <w:rPr>
          <w:rFonts w:ascii="Times New Roman" w:eastAsia="微软雅黑" w:hAnsi="微软雅黑" w:cs="Times New Roman"/>
          <w:kern w:val="0"/>
          <w:szCs w:val="21"/>
        </w:rPr>
        <w:t>第</w:t>
      </w:r>
      <w:r w:rsidR="00E0101F" w:rsidRPr="00EB6943">
        <w:rPr>
          <w:rFonts w:ascii="Times New Roman" w:eastAsia="微软雅黑" w:hAnsi="微软雅黑" w:cs="Times New Roman" w:hint="eastAsia"/>
          <w:kern w:val="0"/>
          <w:szCs w:val="21"/>
        </w:rPr>
        <w:t>三</w:t>
      </w:r>
      <w:r w:rsidR="001F64FE" w:rsidRPr="00EB6943">
        <w:rPr>
          <w:rFonts w:ascii="Times New Roman" w:eastAsia="微软雅黑" w:hAnsi="微软雅黑" w:cs="Times New Roman"/>
          <w:kern w:val="0"/>
          <w:szCs w:val="21"/>
        </w:rPr>
        <w:t>季</w:t>
      </w:r>
      <w:r w:rsidRPr="00EB6943">
        <w:rPr>
          <w:rFonts w:ascii="Times New Roman" w:eastAsia="微软雅黑" w:hAnsi="微软雅黑" w:cs="Times New Roman"/>
          <w:kern w:val="0"/>
          <w:szCs w:val="21"/>
        </w:rPr>
        <w:t>度</w:t>
      </w:r>
      <w:r w:rsidRPr="00EB6943">
        <w:rPr>
          <w:rFonts w:ascii="Times New Roman" w:eastAsia="微软雅黑" w:hAnsi="微软雅黑" w:cs="Times New Roman"/>
          <w:kern w:val="0"/>
        </w:rPr>
        <w:t>报告</w:t>
      </w:r>
      <w:r w:rsidRPr="00EB6943">
        <w:rPr>
          <w:rFonts w:ascii="Times New Roman" w:eastAsia="微软雅黑" w:hAnsi="微软雅黑" w:cs="Times New Roman"/>
          <w:kern w:val="0"/>
          <w:szCs w:val="21"/>
        </w:rPr>
        <w:t>来源构成分析</w:t>
      </w:r>
    </w:p>
    <w:p w:rsidR="003A5A96" w:rsidRDefault="00EB6943" w:rsidP="00A36B80">
      <w:pPr>
        <w:spacing w:line="276" w:lineRule="auto"/>
        <w:ind w:firstLineChars="202" w:firstLine="424"/>
        <w:rPr>
          <w:rFonts w:ascii="Times New Roman" w:hAnsiTheme="minorEastAsia" w:cs="Times New Roman"/>
          <w:kern w:val="0"/>
        </w:rPr>
      </w:pPr>
      <w:r w:rsidRPr="00EB6943">
        <w:rPr>
          <w:rFonts w:ascii="Times New Roman" w:hAnsiTheme="minorEastAsia" w:cs="Times New Roman" w:hint="eastAsia"/>
          <w:kern w:val="0"/>
        </w:rPr>
        <w:t>经营企业和生产企业</w:t>
      </w:r>
      <w:r w:rsidR="00791447" w:rsidRPr="00EB6943">
        <w:rPr>
          <w:rFonts w:ascii="Times New Roman" w:hAnsiTheme="minorEastAsia" w:cs="Times New Roman"/>
          <w:kern w:val="0"/>
        </w:rPr>
        <w:t>的报</w:t>
      </w:r>
      <w:r w:rsidR="00791447" w:rsidRPr="00FC6BB1">
        <w:rPr>
          <w:rFonts w:ascii="Times New Roman" w:hAnsiTheme="minorEastAsia" w:cs="Times New Roman"/>
          <w:kern w:val="0"/>
        </w:rPr>
        <w:t>告数量</w:t>
      </w:r>
      <w:r w:rsidRPr="00FC6BB1">
        <w:rPr>
          <w:rFonts w:ascii="Times New Roman" w:hAnsiTheme="minorEastAsia" w:cs="Times New Roman"/>
          <w:kern w:val="0"/>
        </w:rPr>
        <w:t>同比（</w:t>
      </w:r>
      <w:r w:rsidR="00AF257A">
        <w:fldChar w:fldCharType="begin"/>
      </w:r>
      <w:r w:rsidR="00A36B80">
        <w:rPr>
          <w:rFonts w:ascii="Times New Roman" w:hAnsiTheme="minorEastAsia" w:cs="Times New Roman"/>
          <w:kern w:val="0"/>
        </w:rPr>
        <w:instrText xml:space="preserve"> REF _Ref526941705 \h </w:instrText>
      </w:r>
      <w:r w:rsidR="00AF257A">
        <w:fldChar w:fldCharType="separate"/>
      </w:r>
      <w:r w:rsidR="00A36B80" w:rsidRPr="00FC6BB1">
        <w:rPr>
          <w:rFonts w:ascii="Times New Roman" w:cs="Times New Roman"/>
        </w:rPr>
        <w:t>图</w:t>
      </w:r>
      <w:r w:rsidR="00A36B80" w:rsidRPr="00FC6BB1">
        <w:rPr>
          <w:rFonts w:ascii="Times New Roman" w:hAnsi="Times New Roman" w:cs="Times New Roman"/>
        </w:rPr>
        <w:t xml:space="preserve"> </w:t>
      </w:r>
      <w:r w:rsidR="00A36B80">
        <w:rPr>
          <w:rFonts w:ascii="Times New Roman" w:hAnsi="Times New Roman" w:cs="Times New Roman"/>
          <w:noProof/>
        </w:rPr>
        <w:t>4</w:t>
      </w:r>
      <w:r w:rsidR="00AF257A">
        <w:fldChar w:fldCharType="end"/>
      </w:r>
      <w:r w:rsidRPr="00FC6BB1">
        <w:rPr>
          <w:rFonts w:ascii="Times New Roman" w:hAnsiTheme="minorEastAsia" w:cs="Times New Roman"/>
          <w:kern w:val="0"/>
        </w:rPr>
        <w:t>）</w:t>
      </w:r>
      <w:r>
        <w:rPr>
          <w:rFonts w:ascii="Times New Roman" w:hAnsiTheme="minorEastAsia" w:cs="Times New Roman" w:hint="eastAsia"/>
          <w:kern w:val="0"/>
        </w:rPr>
        <w:t>和</w:t>
      </w:r>
      <w:r w:rsidR="00684BAF" w:rsidRPr="00FC6BB1">
        <w:rPr>
          <w:rFonts w:ascii="Times New Roman" w:hAnsiTheme="minorEastAsia" w:cs="Times New Roman"/>
          <w:kern w:val="0"/>
        </w:rPr>
        <w:t>环比（</w:t>
      </w:r>
      <w:fldSimple w:instr=" REF _Ref485036705 \h  \* MERGEFORMAT ">
        <w:r w:rsidR="00A36B80" w:rsidRPr="00A36B80">
          <w:rPr>
            <w:rFonts w:ascii="Times New Roman" w:hAnsiTheme="minorEastAsia" w:cs="Times New Roman"/>
            <w:kern w:val="0"/>
          </w:rPr>
          <w:t>图</w:t>
        </w:r>
        <w:r w:rsidR="00A36B80" w:rsidRPr="00A36B80">
          <w:rPr>
            <w:rFonts w:ascii="Times New Roman" w:hAnsi="Times New Roman" w:cs="Times New Roman"/>
            <w:kern w:val="0"/>
          </w:rPr>
          <w:t xml:space="preserve"> 5</w:t>
        </w:r>
      </w:fldSimple>
      <w:r w:rsidR="00684BAF" w:rsidRPr="00FC6BB1">
        <w:rPr>
          <w:rFonts w:ascii="Times New Roman" w:hAnsiTheme="minorEastAsia" w:cs="Times New Roman"/>
          <w:kern w:val="0"/>
        </w:rPr>
        <w:t>）</w:t>
      </w:r>
      <w:r w:rsidR="00AD5980" w:rsidRPr="00FC6BB1">
        <w:rPr>
          <w:rFonts w:ascii="Times New Roman" w:hAnsiTheme="minorEastAsia" w:cs="Times New Roman"/>
          <w:kern w:val="0"/>
        </w:rPr>
        <w:t>增长</w:t>
      </w:r>
      <w:r w:rsidRPr="00FC6BB1">
        <w:rPr>
          <w:rFonts w:ascii="Times New Roman" w:hAnsiTheme="minorEastAsia" w:cs="Times New Roman"/>
          <w:kern w:val="0"/>
        </w:rPr>
        <w:t>明显</w:t>
      </w:r>
      <w:r w:rsidR="006A2377" w:rsidRPr="00FC6BB1">
        <w:rPr>
          <w:rFonts w:ascii="Times New Roman" w:hAnsiTheme="minorEastAsia" w:cs="Times New Roman"/>
          <w:kern w:val="0"/>
        </w:rPr>
        <w:t>。</w:t>
      </w:r>
    </w:p>
    <w:p w:rsidR="00A36B80" w:rsidRPr="00A36B80" w:rsidRDefault="00A36B80" w:rsidP="00A36B80">
      <w:pPr>
        <w:rPr>
          <w:kern w:val="0"/>
        </w:rPr>
      </w:pPr>
    </w:p>
    <w:p w:rsidR="00AD5980" w:rsidRPr="00FC6BB1" w:rsidRDefault="00EB6943" w:rsidP="00FC6BB1">
      <w:pPr>
        <w:widowControl/>
        <w:shd w:val="clear" w:color="auto" w:fill="FFFFFF"/>
        <w:spacing w:line="276" w:lineRule="auto"/>
        <w:jc w:val="center"/>
        <w:rPr>
          <w:rFonts w:ascii="Times New Roman" w:eastAsia="微软雅黑" w:hAnsi="Times New Roman" w:cs="Times New Roman"/>
          <w:color w:val="FF0000"/>
          <w:kern w:val="0"/>
          <w:szCs w:val="21"/>
        </w:rPr>
      </w:pPr>
      <w:bookmarkStart w:id="5" w:name="_Ref475535838"/>
      <w:r w:rsidRPr="00EB6943">
        <w:rPr>
          <w:rFonts w:ascii="Times New Roman" w:eastAsia="微软雅黑" w:hAnsi="Times New Roman" w:cs="Times New Roman"/>
          <w:noProof/>
          <w:color w:val="FF0000"/>
          <w:kern w:val="0"/>
          <w:szCs w:val="21"/>
        </w:rPr>
        <w:drawing>
          <wp:inline distT="0" distB="0" distL="0" distR="0">
            <wp:extent cx="4562475" cy="3305175"/>
            <wp:effectExtent l="19050" t="0" r="9525" b="0"/>
            <wp:docPr id="1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5A96" w:rsidRPr="00FC6BB1" w:rsidRDefault="003A5A96" w:rsidP="00FC6BB1">
      <w:pPr>
        <w:pStyle w:val="a5"/>
        <w:spacing w:line="276" w:lineRule="auto"/>
        <w:jc w:val="center"/>
        <w:rPr>
          <w:rFonts w:ascii="Times New Roman" w:hAnsi="Times New Roman" w:cs="Times New Roman"/>
        </w:rPr>
      </w:pPr>
      <w:bookmarkStart w:id="6" w:name="_Ref526941705"/>
      <w:r w:rsidRPr="00FC6BB1">
        <w:rPr>
          <w:rFonts w:ascii="Times New Roman" w:cs="Times New Roman"/>
        </w:rPr>
        <w:t>图</w:t>
      </w:r>
      <w:r w:rsidRPr="00FC6BB1">
        <w:rPr>
          <w:rFonts w:ascii="Times New Roman" w:hAnsi="Times New Roman" w:cs="Times New Roman"/>
        </w:rPr>
        <w:t xml:space="preserve"> </w:t>
      </w:r>
      <w:r w:rsidR="00AF257A" w:rsidRPr="00FC6BB1">
        <w:rPr>
          <w:rFonts w:ascii="Times New Roman" w:hAnsi="Times New Roman" w:cs="Times New Roman"/>
        </w:rPr>
        <w:fldChar w:fldCharType="begin"/>
      </w:r>
      <w:r w:rsidR="00863E79" w:rsidRPr="00FC6BB1">
        <w:rPr>
          <w:rFonts w:ascii="Times New Roman" w:hAnsi="Times New Roman" w:cs="Times New Roman"/>
        </w:rPr>
        <w:instrText xml:space="preserve"> SEQ </w:instrText>
      </w:r>
      <w:r w:rsidR="00863E79" w:rsidRPr="00FC6BB1">
        <w:rPr>
          <w:rFonts w:ascii="Times New Roman" w:cs="Times New Roman"/>
        </w:rPr>
        <w:instrText>图</w:instrText>
      </w:r>
      <w:r w:rsidR="00863E79" w:rsidRPr="00FC6BB1">
        <w:rPr>
          <w:rFonts w:ascii="Times New Roman" w:hAnsi="Times New Roman" w:cs="Times New Roman"/>
        </w:rPr>
        <w:instrText xml:space="preserve"> \* ARABIC </w:instrText>
      </w:r>
      <w:r w:rsidR="00AF257A" w:rsidRPr="00FC6BB1">
        <w:rPr>
          <w:rFonts w:ascii="Times New Roman" w:hAnsi="Times New Roman" w:cs="Times New Roman"/>
        </w:rPr>
        <w:fldChar w:fldCharType="separate"/>
      </w:r>
      <w:r w:rsidR="00A36B80">
        <w:rPr>
          <w:rFonts w:ascii="Times New Roman" w:hAnsi="Times New Roman" w:cs="Times New Roman"/>
          <w:noProof/>
        </w:rPr>
        <w:t>4</w:t>
      </w:r>
      <w:r w:rsidR="00AF257A" w:rsidRPr="00FC6BB1">
        <w:rPr>
          <w:rFonts w:ascii="Times New Roman" w:hAnsi="Times New Roman" w:cs="Times New Roman"/>
        </w:rPr>
        <w:fldChar w:fldCharType="end"/>
      </w:r>
      <w:bookmarkEnd w:id="5"/>
      <w:bookmarkEnd w:id="6"/>
      <w:r w:rsidRPr="00FC6BB1">
        <w:rPr>
          <w:rFonts w:ascii="Times New Roman" w:hAnsi="Times New Roman" w:cs="Times New Roman"/>
        </w:rPr>
        <w:t xml:space="preserve">. </w:t>
      </w:r>
      <w:r w:rsidR="001F64FE" w:rsidRPr="00FC6BB1">
        <w:rPr>
          <w:rFonts w:ascii="Times New Roman" w:hAnsi="Times New Roman" w:cs="Times New Roman"/>
        </w:rPr>
        <w:t>201</w:t>
      </w:r>
      <w:r w:rsidR="00BF4567" w:rsidRPr="00FC6BB1">
        <w:rPr>
          <w:rFonts w:ascii="Times New Roman" w:hAnsi="Times New Roman" w:cs="Times New Roman"/>
        </w:rPr>
        <w:t>8</w:t>
      </w:r>
      <w:r w:rsidR="00BF4567" w:rsidRPr="00FC6BB1">
        <w:rPr>
          <w:rFonts w:ascii="Times New Roman" w:cs="Times New Roman"/>
        </w:rPr>
        <w:t>年第</w:t>
      </w:r>
      <w:r w:rsidR="00E0101F">
        <w:rPr>
          <w:rFonts w:ascii="Times New Roman" w:cs="Times New Roman" w:hint="eastAsia"/>
        </w:rPr>
        <w:t>三</w:t>
      </w:r>
      <w:r w:rsidR="001F64FE" w:rsidRPr="00FC6BB1">
        <w:rPr>
          <w:rFonts w:ascii="Times New Roman" w:cs="Times New Roman"/>
        </w:rPr>
        <w:t>季度</w:t>
      </w:r>
      <w:r w:rsidR="001F64FE" w:rsidRPr="00FC6BB1">
        <w:rPr>
          <w:rFonts w:ascii="Times New Roman" w:eastAsia="微软雅黑" w:hAnsi="微软雅黑" w:cs="Times New Roman"/>
          <w:kern w:val="0"/>
        </w:rPr>
        <w:t>报告</w:t>
      </w:r>
      <w:r w:rsidR="001F64FE" w:rsidRPr="00FC6BB1">
        <w:rPr>
          <w:rFonts w:ascii="Times New Roman" w:eastAsia="微软雅黑" w:hAnsi="微软雅黑" w:cs="Times New Roman"/>
          <w:kern w:val="0"/>
          <w:szCs w:val="21"/>
        </w:rPr>
        <w:t>来源数量</w:t>
      </w:r>
      <w:r w:rsidR="001F64FE" w:rsidRPr="00FC6BB1">
        <w:rPr>
          <w:rFonts w:ascii="Times New Roman" w:cs="Times New Roman"/>
        </w:rPr>
        <w:t>与往年同期比较</w:t>
      </w:r>
    </w:p>
    <w:p w:rsidR="00AD5980" w:rsidRPr="00FC6BB1" w:rsidRDefault="00EB6943" w:rsidP="00FC6BB1">
      <w:pPr>
        <w:spacing w:line="276" w:lineRule="auto"/>
        <w:jc w:val="center"/>
        <w:rPr>
          <w:rFonts w:ascii="Times New Roman" w:hAnsi="Times New Roman" w:cs="Times New Roman"/>
        </w:rPr>
      </w:pPr>
      <w:r w:rsidRPr="00EB6943">
        <w:rPr>
          <w:rFonts w:ascii="Times New Roman" w:hAnsi="Times New Roman" w:cs="Times New Roman"/>
          <w:noProof/>
        </w:rPr>
        <w:lastRenderedPageBreak/>
        <w:drawing>
          <wp:inline distT="0" distB="0" distL="0" distR="0">
            <wp:extent cx="4572000" cy="3067050"/>
            <wp:effectExtent l="19050" t="0" r="19050" b="0"/>
            <wp:docPr id="1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1A8B" w:rsidRPr="00FC6BB1" w:rsidRDefault="00B11A8B" w:rsidP="00FC6BB1">
      <w:pPr>
        <w:pStyle w:val="a5"/>
        <w:spacing w:line="276" w:lineRule="auto"/>
        <w:jc w:val="center"/>
        <w:rPr>
          <w:rFonts w:ascii="Times New Roman" w:hAnsi="Times New Roman" w:cs="Times New Roman"/>
        </w:rPr>
      </w:pPr>
      <w:bookmarkStart w:id="7" w:name="_Ref485036705"/>
      <w:r w:rsidRPr="00FC6BB1">
        <w:rPr>
          <w:rFonts w:ascii="Times New Roman" w:cs="Times New Roman"/>
        </w:rPr>
        <w:t>图</w:t>
      </w:r>
      <w:r w:rsidRPr="00FC6BB1">
        <w:rPr>
          <w:rFonts w:ascii="Times New Roman" w:hAnsi="Times New Roman" w:cs="Times New Roman"/>
        </w:rPr>
        <w:t xml:space="preserve"> </w:t>
      </w:r>
      <w:r w:rsidR="00AF257A" w:rsidRPr="00FC6BB1">
        <w:rPr>
          <w:rFonts w:ascii="Times New Roman" w:hAnsi="Times New Roman" w:cs="Times New Roman"/>
        </w:rPr>
        <w:fldChar w:fldCharType="begin"/>
      </w:r>
      <w:r w:rsidRPr="00FC6BB1">
        <w:rPr>
          <w:rFonts w:ascii="Times New Roman" w:hAnsi="Times New Roman" w:cs="Times New Roman"/>
        </w:rPr>
        <w:instrText xml:space="preserve"> SEQ </w:instrText>
      </w:r>
      <w:r w:rsidRPr="00FC6BB1">
        <w:rPr>
          <w:rFonts w:ascii="Times New Roman" w:cs="Times New Roman"/>
        </w:rPr>
        <w:instrText>图</w:instrText>
      </w:r>
      <w:r w:rsidRPr="00FC6BB1">
        <w:rPr>
          <w:rFonts w:ascii="Times New Roman" w:hAnsi="Times New Roman" w:cs="Times New Roman"/>
        </w:rPr>
        <w:instrText xml:space="preserve"> \* ARABIC </w:instrText>
      </w:r>
      <w:r w:rsidR="00AF257A" w:rsidRPr="00FC6BB1">
        <w:rPr>
          <w:rFonts w:ascii="Times New Roman" w:hAnsi="Times New Roman" w:cs="Times New Roman"/>
        </w:rPr>
        <w:fldChar w:fldCharType="separate"/>
      </w:r>
      <w:r w:rsidR="00A36B80">
        <w:rPr>
          <w:rFonts w:ascii="Times New Roman" w:hAnsi="Times New Roman" w:cs="Times New Roman"/>
          <w:noProof/>
        </w:rPr>
        <w:t>5</w:t>
      </w:r>
      <w:r w:rsidR="00AF257A" w:rsidRPr="00FC6BB1">
        <w:rPr>
          <w:rFonts w:ascii="Times New Roman" w:hAnsi="Times New Roman" w:cs="Times New Roman"/>
        </w:rPr>
        <w:fldChar w:fldCharType="end"/>
      </w:r>
      <w:bookmarkEnd w:id="7"/>
      <w:r w:rsidRPr="00FC6BB1">
        <w:rPr>
          <w:rFonts w:ascii="Times New Roman" w:hAnsi="Times New Roman" w:cs="Times New Roman"/>
        </w:rPr>
        <w:t xml:space="preserve">. </w:t>
      </w:r>
      <w:r w:rsidR="00BF4567" w:rsidRPr="00FC6BB1">
        <w:rPr>
          <w:rFonts w:ascii="Times New Roman" w:hAnsi="Times New Roman" w:cs="Times New Roman"/>
        </w:rPr>
        <w:t>2018</w:t>
      </w:r>
      <w:r w:rsidR="006A2377" w:rsidRPr="00FC6BB1">
        <w:rPr>
          <w:rFonts w:ascii="Times New Roman" w:cs="Times New Roman"/>
        </w:rPr>
        <w:t>年第</w:t>
      </w:r>
      <w:r w:rsidR="00EB6943">
        <w:rPr>
          <w:rFonts w:ascii="Times New Roman" w:cs="Times New Roman" w:hint="eastAsia"/>
        </w:rPr>
        <w:t>三</w:t>
      </w:r>
      <w:r w:rsidRPr="00FC6BB1">
        <w:rPr>
          <w:rFonts w:ascii="Times New Roman" w:cs="Times New Roman"/>
        </w:rPr>
        <w:t>季度报告来源数量与上季度比较</w:t>
      </w:r>
    </w:p>
    <w:p w:rsidR="003A5A96" w:rsidRPr="00EB6943" w:rsidRDefault="003A5A96" w:rsidP="00FC6BB1">
      <w:pPr>
        <w:widowControl/>
        <w:shd w:val="clear" w:color="auto" w:fill="FFFFFF"/>
        <w:spacing w:line="276" w:lineRule="auto"/>
        <w:jc w:val="center"/>
        <w:rPr>
          <w:rFonts w:ascii="Times New Roman" w:eastAsia="微软雅黑" w:hAnsi="Times New Roman" w:cs="Times New Roman"/>
          <w:kern w:val="0"/>
          <w:szCs w:val="21"/>
        </w:rPr>
      </w:pPr>
    </w:p>
    <w:p w:rsidR="003A5A96" w:rsidRPr="00FC6BB1" w:rsidRDefault="00A36B80" w:rsidP="00FC6BB1">
      <w:pPr>
        <w:widowControl/>
        <w:shd w:val="clear" w:color="auto" w:fill="FFFFFF"/>
        <w:spacing w:line="276" w:lineRule="auto"/>
        <w:ind w:firstLineChars="202" w:firstLine="424"/>
        <w:jc w:val="left"/>
        <w:outlineLvl w:val="0"/>
        <w:rPr>
          <w:rFonts w:ascii="Times New Roman" w:eastAsia="微软雅黑" w:hAnsi="Times New Roman" w:cs="Times New Roman"/>
          <w:b/>
          <w:bCs/>
          <w:kern w:val="0"/>
          <w:szCs w:val="21"/>
        </w:rPr>
      </w:pPr>
      <w:r>
        <w:rPr>
          <w:rFonts w:ascii="Times New Roman" w:eastAsia="微软雅黑" w:hAnsi="微软雅黑" w:cs="Times New Roman" w:hint="eastAsia"/>
          <w:b/>
          <w:bCs/>
          <w:kern w:val="0"/>
          <w:szCs w:val="21"/>
        </w:rPr>
        <w:t>4.</w:t>
      </w:r>
      <w:r w:rsidR="003A5A96" w:rsidRPr="00FC6BB1">
        <w:rPr>
          <w:rFonts w:ascii="Times New Roman" w:eastAsia="微软雅黑" w:hAnsi="微软雅黑" w:cs="Times New Roman"/>
          <w:b/>
          <w:bCs/>
          <w:kern w:val="0"/>
          <w:szCs w:val="21"/>
        </w:rPr>
        <w:t>医疗器械产品管理类别分析</w:t>
      </w:r>
    </w:p>
    <w:p w:rsidR="003A5A96" w:rsidRPr="00FC6BB1" w:rsidRDefault="00FC6BB1" w:rsidP="00FC6BB1">
      <w:pPr>
        <w:spacing w:line="276" w:lineRule="auto"/>
        <w:ind w:firstLineChars="202" w:firstLine="424"/>
        <w:rPr>
          <w:rFonts w:ascii="Times New Roman" w:hAnsi="Times New Roman" w:cs="Times New Roman"/>
          <w:kern w:val="0"/>
        </w:rPr>
      </w:pPr>
      <w:r w:rsidRPr="00FC6BB1">
        <w:rPr>
          <w:rFonts w:ascii="Times New Roman" w:hAnsi="Times New Roman" w:cs="Times New Roman"/>
          <w:kern w:val="0"/>
        </w:rPr>
        <w:t>2018</w:t>
      </w:r>
      <w:r w:rsidRPr="00FC6BB1">
        <w:rPr>
          <w:rFonts w:ascii="Times New Roman" w:hAnsiTheme="minorEastAsia" w:cs="Times New Roman"/>
          <w:kern w:val="0"/>
        </w:rPr>
        <w:t>年第</w:t>
      </w:r>
      <w:r w:rsidR="002D7416">
        <w:rPr>
          <w:rFonts w:ascii="Times New Roman" w:hAnsiTheme="minorEastAsia" w:cs="Times New Roman" w:hint="eastAsia"/>
          <w:kern w:val="0"/>
        </w:rPr>
        <w:t>三</w:t>
      </w:r>
      <w:r w:rsidRPr="00FC6BB1">
        <w:rPr>
          <w:rFonts w:ascii="Times New Roman" w:hAnsiTheme="minorEastAsia" w:cs="Times New Roman"/>
          <w:kern w:val="0"/>
        </w:rPr>
        <w:t>季度本市可疑医疗器械不良事件报告中，涉及的器械主要为</w:t>
      </w:r>
      <w:r w:rsidRPr="00FC6BB1">
        <w:rPr>
          <w:rFonts w:ascii="Times New Roman" w:hAnsi="Times New Roman" w:cs="Times New Roman"/>
          <w:kern w:val="0"/>
        </w:rPr>
        <w:t>III</w:t>
      </w:r>
      <w:r w:rsidRPr="00FC6BB1">
        <w:rPr>
          <w:rFonts w:ascii="Times New Roman" w:hAnsiTheme="minorEastAsia" w:cs="Times New Roman"/>
          <w:kern w:val="0"/>
        </w:rPr>
        <w:t>类产品，有</w:t>
      </w:r>
      <w:r w:rsidR="00E31DC6">
        <w:rPr>
          <w:rFonts w:ascii="Times New Roman" w:hAnsi="Times New Roman" w:cs="Times New Roman" w:hint="eastAsia"/>
          <w:kern w:val="0"/>
        </w:rPr>
        <w:t>1523</w:t>
      </w:r>
      <w:r w:rsidRPr="00FC6BB1">
        <w:rPr>
          <w:rFonts w:ascii="Times New Roman" w:hAnsiTheme="minorEastAsia" w:cs="Times New Roman"/>
          <w:kern w:val="0"/>
        </w:rPr>
        <w:t>份，占</w:t>
      </w:r>
      <w:r w:rsidR="00E31DC6">
        <w:rPr>
          <w:rFonts w:ascii="Times New Roman" w:hAnsi="Times New Roman" w:cs="Times New Roman" w:hint="eastAsia"/>
          <w:kern w:val="0"/>
        </w:rPr>
        <w:t>59.87</w:t>
      </w:r>
      <w:r w:rsidRPr="00FC6BB1">
        <w:rPr>
          <w:rFonts w:ascii="Times New Roman" w:hAnsi="Times New Roman" w:cs="Times New Roman"/>
          <w:kern w:val="0"/>
        </w:rPr>
        <w:t>%</w:t>
      </w:r>
      <w:r w:rsidRPr="00FC6BB1">
        <w:rPr>
          <w:rFonts w:ascii="Times New Roman" w:hAnsiTheme="minorEastAsia" w:cs="Times New Roman"/>
          <w:kern w:val="0"/>
        </w:rPr>
        <w:t>；其次为</w:t>
      </w:r>
      <w:r w:rsidRPr="00FC6BB1">
        <w:rPr>
          <w:rFonts w:ascii="Times New Roman" w:hAnsi="Times New Roman" w:cs="Times New Roman"/>
          <w:kern w:val="0"/>
        </w:rPr>
        <w:t>II</w:t>
      </w:r>
      <w:r w:rsidRPr="00FC6BB1">
        <w:rPr>
          <w:rFonts w:ascii="Times New Roman" w:hAnsiTheme="minorEastAsia" w:cs="Times New Roman"/>
          <w:kern w:val="0"/>
        </w:rPr>
        <w:t>类产品，有</w:t>
      </w:r>
      <w:r w:rsidR="00E31DC6">
        <w:rPr>
          <w:rFonts w:ascii="Times New Roman" w:hAnsi="Times New Roman" w:cs="Times New Roman" w:hint="eastAsia"/>
          <w:kern w:val="0"/>
        </w:rPr>
        <w:t>911</w:t>
      </w:r>
      <w:r w:rsidRPr="00FC6BB1">
        <w:rPr>
          <w:rFonts w:ascii="Times New Roman" w:hAnsiTheme="minorEastAsia" w:cs="Times New Roman"/>
          <w:kern w:val="0"/>
        </w:rPr>
        <w:t>份，占</w:t>
      </w:r>
      <w:r w:rsidR="00E31DC6">
        <w:rPr>
          <w:rFonts w:ascii="Times New Roman" w:hAnsi="Times New Roman" w:cs="Times New Roman" w:hint="eastAsia"/>
          <w:kern w:val="0"/>
        </w:rPr>
        <w:t>35.81</w:t>
      </w:r>
      <w:r w:rsidRPr="00FC6BB1">
        <w:rPr>
          <w:rFonts w:ascii="Times New Roman" w:hAnsi="Times New Roman" w:cs="Times New Roman"/>
          <w:kern w:val="0"/>
        </w:rPr>
        <w:t>%</w:t>
      </w:r>
      <w:r w:rsidRPr="00FC6BB1">
        <w:rPr>
          <w:rFonts w:ascii="Times New Roman" w:hAnsiTheme="minorEastAsia" w:cs="Times New Roman"/>
          <w:kern w:val="0"/>
        </w:rPr>
        <w:t>；最后为</w:t>
      </w:r>
      <w:r w:rsidRPr="00FC6BB1">
        <w:rPr>
          <w:rFonts w:ascii="Times New Roman" w:hAnsi="Times New Roman" w:cs="Times New Roman"/>
          <w:kern w:val="0"/>
        </w:rPr>
        <w:t>I</w:t>
      </w:r>
      <w:r w:rsidRPr="00FC6BB1">
        <w:rPr>
          <w:rFonts w:ascii="Times New Roman" w:hAnsiTheme="minorEastAsia" w:cs="Times New Roman"/>
          <w:kern w:val="0"/>
        </w:rPr>
        <w:t>类产品，有</w:t>
      </w:r>
      <w:r w:rsidR="00E31DC6">
        <w:rPr>
          <w:rFonts w:ascii="Times New Roman" w:hAnsi="Times New Roman" w:cs="Times New Roman" w:hint="eastAsia"/>
          <w:kern w:val="0"/>
        </w:rPr>
        <w:t>110</w:t>
      </w:r>
      <w:r w:rsidRPr="00FC6BB1">
        <w:rPr>
          <w:rFonts w:ascii="Times New Roman" w:hAnsiTheme="minorEastAsia" w:cs="Times New Roman"/>
          <w:kern w:val="0"/>
        </w:rPr>
        <w:t>份，占</w:t>
      </w:r>
      <w:r w:rsidR="00E31DC6">
        <w:rPr>
          <w:rFonts w:ascii="Times New Roman" w:hAnsi="Times New Roman" w:cs="Times New Roman" w:hint="eastAsia"/>
          <w:kern w:val="0"/>
        </w:rPr>
        <w:t>4.32</w:t>
      </w:r>
      <w:r w:rsidRPr="00FC6BB1">
        <w:rPr>
          <w:rFonts w:ascii="Times New Roman" w:hAnsi="Times New Roman" w:cs="Times New Roman"/>
          <w:kern w:val="0"/>
        </w:rPr>
        <w:t>%</w:t>
      </w:r>
      <w:r w:rsidR="003A5A96" w:rsidRPr="00FC6BB1">
        <w:rPr>
          <w:rFonts w:ascii="Times New Roman" w:hAnsiTheme="minorEastAsia" w:cs="Times New Roman"/>
          <w:kern w:val="0"/>
        </w:rPr>
        <w:t>（</w:t>
      </w:r>
      <w:fldSimple w:instr=" REF _Ref475535852 \h  \* MERGEFORMAT ">
        <w:r w:rsidR="00A36B80" w:rsidRPr="00A36B80">
          <w:rPr>
            <w:rFonts w:ascii="Times New Roman" w:hAnsiTheme="minorEastAsia" w:cs="Times New Roman"/>
            <w:kern w:val="0"/>
          </w:rPr>
          <w:t>图</w:t>
        </w:r>
        <w:r w:rsidR="00A36B80" w:rsidRPr="00A36B80">
          <w:rPr>
            <w:rFonts w:ascii="Times New Roman" w:hAnsi="Times New Roman" w:cs="Times New Roman"/>
            <w:kern w:val="0"/>
          </w:rPr>
          <w:t xml:space="preserve"> 6</w:t>
        </w:r>
      </w:fldSimple>
      <w:r w:rsidR="003A5A96" w:rsidRPr="00FC6BB1">
        <w:rPr>
          <w:rFonts w:ascii="Times New Roman" w:hAnsiTheme="minorEastAsia" w:cs="Times New Roman"/>
          <w:kern w:val="0"/>
        </w:rPr>
        <w:t>）。</w:t>
      </w:r>
      <w:r w:rsidR="003A5A96" w:rsidRPr="00FC6BB1">
        <w:rPr>
          <w:rFonts w:ascii="Times New Roman" w:hAnsi="Times New Roman" w:cs="Times New Roman"/>
          <w:kern w:val="0"/>
        </w:rPr>
        <w:t>II</w:t>
      </w:r>
      <w:r w:rsidR="003A5A96" w:rsidRPr="00FC6BB1">
        <w:rPr>
          <w:rFonts w:ascii="Times New Roman" w:hAnsiTheme="minorEastAsia" w:cs="Times New Roman"/>
          <w:kern w:val="0"/>
        </w:rPr>
        <w:t>、</w:t>
      </w:r>
      <w:r w:rsidR="003A5A96" w:rsidRPr="00FC6BB1">
        <w:rPr>
          <w:rFonts w:ascii="Times New Roman" w:hAnsi="Times New Roman" w:cs="Times New Roman"/>
          <w:kern w:val="0"/>
        </w:rPr>
        <w:t>III</w:t>
      </w:r>
      <w:r w:rsidR="00A05870" w:rsidRPr="00FC6BB1">
        <w:rPr>
          <w:rFonts w:ascii="Times New Roman" w:hAnsiTheme="minorEastAsia" w:cs="Times New Roman"/>
          <w:kern w:val="0"/>
        </w:rPr>
        <w:t>类产品的可疑不良事件是报告主体</w:t>
      </w:r>
      <w:r w:rsidR="003A5A96" w:rsidRPr="00FC6BB1">
        <w:rPr>
          <w:rFonts w:ascii="Times New Roman" w:hAnsiTheme="minorEastAsia" w:cs="Times New Roman"/>
          <w:kern w:val="0"/>
        </w:rPr>
        <w:t>，与医疗器械风险程度高低相吻合。</w:t>
      </w:r>
    </w:p>
    <w:p w:rsidR="003A5A96" w:rsidRPr="00FC6BB1" w:rsidRDefault="00E31DC6" w:rsidP="00FC6BB1">
      <w:pPr>
        <w:widowControl/>
        <w:shd w:val="clear" w:color="auto" w:fill="FFFFFF"/>
        <w:spacing w:line="276" w:lineRule="auto"/>
        <w:jc w:val="center"/>
        <w:rPr>
          <w:rFonts w:ascii="Times New Roman" w:eastAsia="微软雅黑" w:hAnsi="Times New Roman" w:cs="Times New Roman"/>
          <w:kern w:val="0"/>
          <w:szCs w:val="21"/>
        </w:rPr>
      </w:pPr>
      <w:r w:rsidRPr="00E31DC6">
        <w:rPr>
          <w:rFonts w:ascii="Times New Roman" w:eastAsia="微软雅黑" w:hAnsi="Times New Roman" w:cs="Times New Roman"/>
          <w:noProof/>
          <w:kern w:val="0"/>
          <w:szCs w:val="21"/>
        </w:rPr>
        <w:drawing>
          <wp:inline distT="0" distB="0" distL="0" distR="0">
            <wp:extent cx="4572000" cy="2743200"/>
            <wp:effectExtent l="19050" t="0" r="19050" b="0"/>
            <wp:docPr id="2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5A96" w:rsidRPr="00FC6BB1" w:rsidRDefault="003A5A96" w:rsidP="00FC6BB1">
      <w:pPr>
        <w:pStyle w:val="a5"/>
        <w:spacing w:line="276" w:lineRule="auto"/>
        <w:jc w:val="center"/>
        <w:rPr>
          <w:rFonts w:ascii="Times New Roman" w:eastAsia="微软雅黑" w:hAnsi="Times New Roman" w:cs="Times New Roman"/>
          <w:kern w:val="0"/>
          <w:szCs w:val="21"/>
        </w:rPr>
      </w:pPr>
      <w:bookmarkStart w:id="8" w:name="_Ref475535852"/>
      <w:r w:rsidRPr="00FC6BB1">
        <w:rPr>
          <w:rFonts w:ascii="Times New Roman" w:cs="Times New Roman"/>
        </w:rPr>
        <w:t>图</w:t>
      </w:r>
      <w:r w:rsidRPr="00FC6BB1">
        <w:rPr>
          <w:rFonts w:ascii="Times New Roman" w:hAnsi="Times New Roman" w:cs="Times New Roman"/>
        </w:rPr>
        <w:t xml:space="preserve"> </w:t>
      </w:r>
      <w:r w:rsidR="00AF257A" w:rsidRPr="00FC6BB1">
        <w:rPr>
          <w:rFonts w:ascii="Times New Roman" w:hAnsi="Times New Roman" w:cs="Times New Roman"/>
        </w:rPr>
        <w:fldChar w:fldCharType="begin"/>
      </w:r>
      <w:r w:rsidR="00863E79" w:rsidRPr="00FC6BB1">
        <w:rPr>
          <w:rFonts w:ascii="Times New Roman" w:hAnsi="Times New Roman" w:cs="Times New Roman"/>
        </w:rPr>
        <w:instrText xml:space="preserve"> SEQ </w:instrText>
      </w:r>
      <w:r w:rsidR="00863E79" w:rsidRPr="00FC6BB1">
        <w:rPr>
          <w:rFonts w:ascii="Times New Roman" w:cs="Times New Roman"/>
        </w:rPr>
        <w:instrText>图</w:instrText>
      </w:r>
      <w:r w:rsidR="00863E79" w:rsidRPr="00FC6BB1">
        <w:rPr>
          <w:rFonts w:ascii="Times New Roman" w:hAnsi="Times New Roman" w:cs="Times New Roman"/>
        </w:rPr>
        <w:instrText xml:space="preserve"> \* ARABIC </w:instrText>
      </w:r>
      <w:r w:rsidR="00AF257A" w:rsidRPr="00FC6BB1">
        <w:rPr>
          <w:rFonts w:ascii="Times New Roman" w:hAnsi="Times New Roman" w:cs="Times New Roman"/>
        </w:rPr>
        <w:fldChar w:fldCharType="separate"/>
      </w:r>
      <w:r w:rsidR="00A36B80">
        <w:rPr>
          <w:rFonts w:ascii="Times New Roman" w:hAnsi="Times New Roman" w:cs="Times New Roman"/>
          <w:noProof/>
        </w:rPr>
        <w:t>6</w:t>
      </w:r>
      <w:r w:rsidR="00AF257A" w:rsidRPr="00FC6BB1">
        <w:rPr>
          <w:rFonts w:ascii="Times New Roman" w:hAnsi="Times New Roman" w:cs="Times New Roman"/>
        </w:rPr>
        <w:fldChar w:fldCharType="end"/>
      </w:r>
      <w:bookmarkEnd w:id="8"/>
      <w:r w:rsidRPr="00FC6BB1">
        <w:rPr>
          <w:rFonts w:ascii="Times New Roman" w:hAnsi="Times New Roman" w:cs="Times New Roman"/>
        </w:rPr>
        <w:t xml:space="preserve">. </w:t>
      </w:r>
      <w:r w:rsidR="0079398F" w:rsidRPr="00FC6BB1">
        <w:rPr>
          <w:rFonts w:ascii="Times New Roman" w:eastAsia="微软雅黑" w:hAnsi="Times New Roman" w:cs="Times New Roman"/>
          <w:kern w:val="0"/>
        </w:rPr>
        <w:t>2018</w:t>
      </w:r>
      <w:r w:rsidR="00E31DC6">
        <w:rPr>
          <w:rFonts w:ascii="Times New Roman" w:eastAsia="微软雅黑" w:hAnsi="微软雅黑" w:cs="Times New Roman"/>
          <w:kern w:val="0"/>
        </w:rPr>
        <w:t>年第</w:t>
      </w:r>
      <w:r w:rsidR="00E31DC6">
        <w:rPr>
          <w:rFonts w:ascii="Times New Roman" w:eastAsia="微软雅黑" w:hAnsi="微软雅黑" w:cs="Times New Roman" w:hint="eastAsia"/>
          <w:kern w:val="0"/>
        </w:rPr>
        <w:t>三</w:t>
      </w:r>
      <w:r w:rsidR="00A05870" w:rsidRPr="00FC6BB1">
        <w:rPr>
          <w:rFonts w:ascii="Times New Roman" w:eastAsia="微软雅黑" w:hAnsi="微软雅黑" w:cs="Times New Roman"/>
          <w:kern w:val="0"/>
        </w:rPr>
        <w:t>季度</w:t>
      </w:r>
      <w:r w:rsidRPr="00FC6BB1">
        <w:rPr>
          <w:rFonts w:ascii="Times New Roman" w:eastAsia="微软雅黑" w:hAnsi="微软雅黑" w:cs="Times New Roman"/>
          <w:kern w:val="0"/>
        </w:rPr>
        <w:t>报告</w:t>
      </w:r>
      <w:r w:rsidRPr="00FC6BB1">
        <w:rPr>
          <w:rFonts w:ascii="Times New Roman" w:eastAsia="微软雅黑" w:hAnsi="微软雅黑" w:cs="Times New Roman"/>
          <w:kern w:val="0"/>
          <w:szCs w:val="21"/>
        </w:rPr>
        <w:t>涉及的产品管理类别分析</w:t>
      </w:r>
    </w:p>
    <w:p w:rsidR="00A36B80" w:rsidRPr="004E2D6B" w:rsidRDefault="00A36B80" w:rsidP="00A36B80">
      <w:pPr>
        <w:widowControl/>
        <w:shd w:val="clear" w:color="auto" w:fill="FFFFFF"/>
        <w:spacing w:line="360" w:lineRule="auto"/>
        <w:ind w:firstLineChars="202" w:firstLine="426"/>
        <w:jc w:val="left"/>
        <w:rPr>
          <w:rFonts w:ascii="Times New Roman" w:hAnsi="Times New Roman" w:cs="Times New Roman"/>
          <w:b/>
          <w:kern w:val="0"/>
        </w:rPr>
      </w:pPr>
      <w:r>
        <w:rPr>
          <w:rFonts w:ascii="Times New Roman" w:hAnsi="Times New Roman" w:cs="Times New Roman" w:hint="eastAsia"/>
          <w:b/>
          <w:kern w:val="0"/>
        </w:rPr>
        <w:t>5.</w:t>
      </w:r>
      <w:r w:rsidRPr="004E2D6B">
        <w:rPr>
          <w:rFonts w:ascii="Times New Roman" w:hAnsiTheme="minorEastAsia" w:cs="Times New Roman"/>
          <w:b/>
          <w:kern w:val="0"/>
        </w:rPr>
        <w:t>上海生产产品分析</w:t>
      </w:r>
    </w:p>
    <w:p w:rsidR="003A5A96" w:rsidRPr="00FC6BB1" w:rsidRDefault="00FC6BB1" w:rsidP="00FC6BB1">
      <w:pPr>
        <w:spacing w:line="276" w:lineRule="auto"/>
        <w:ind w:firstLineChars="202" w:firstLine="424"/>
        <w:rPr>
          <w:rFonts w:ascii="Times New Roman" w:hAnsi="Times New Roman" w:cs="Times New Roman"/>
          <w:kern w:val="0"/>
        </w:rPr>
      </w:pPr>
      <w:r w:rsidRPr="00FC6BB1">
        <w:rPr>
          <w:rFonts w:ascii="Times New Roman" w:hAnsiTheme="minorEastAsia" w:cs="Times New Roman"/>
          <w:kern w:val="0"/>
        </w:rPr>
        <w:t>上海的生产企业（包括进口总代）的产品涉及可疑医疗器械不良事件报告</w:t>
      </w:r>
      <w:r w:rsidR="00BA55C3">
        <w:rPr>
          <w:rFonts w:ascii="Times New Roman" w:hAnsiTheme="minorEastAsia" w:cs="Times New Roman" w:hint="eastAsia"/>
          <w:kern w:val="0"/>
        </w:rPr>
        <w:t>1748</w:t>
      </w:r>
      <w:r w:rsidR="00BA55C3">
        <w:rPr>
          <w:rFonts w:ascii="Times New Roman" w:hAnsiTheme="minorEastAsia" w:cs="Times New Roman" w:hint="eastAsia"/>
          <w:kern w:val="0"/>
        </w:rPr>
        <w:t>份，</w:t>
      </w:r>
      <w:r w:rsidRPr="00FC6BB1">
        <w:rPr>
          <w:rFonts w:ascii="Times New Roman" w:hAnsiTheme="minorEastAsia" w:cs="Times New Roman"/>
          <w:kern w:val="0"/>
        </w:rPr>
        <w:t>比上季度增加</w:t>
      </w:r>
      <w:r w:rsidR="00BA55C3">
        <w:rPr>
          <w:rFonts w:ascii="Times New Roman" w:hAnsi="Times New Roman" w:cs="Times New Roman" w:hint="eastAsia"/>
          <w:kern w:val="0"/>
        </w:rPr>
        <w:t>584</w:t>
      </w:r>
      <w:r w:rsidRPr="00FC6BB1">
        <w:rPr>
          <w:rFonts w:ascii="Times New Roman" w:hAnsiTheme="minorEastAsia" w:cs="Times New Roman"/>
          <w:kern w:val="0"/>
        </w:rPr>
        <w:t>份，占报告总数的</w:t>
      </w:r>
      <w:r w:rsidR="00BA55C3">
        <w:rPr>
          <w:rFonts w:ascii="Times New Roman" w:hAnsi="Times New Roman" w:cs="Times New Roman" w:hint="eastAsia"/>
          <w:kern w:val="0"/>
        </w:rPr>
        <w:t>68.71</w:t>
      </w:r>
      <w:r w:rsidRPr="00FC6BB1">
        <w:rPr>
          <w:rFonts w:ascii="Times New Roman" w:hAnsi="Times New Roman" w:cs="Times New Roman"/>
          <w:kern w:val="0"/>
        </w:rPr>
        <w:t>%</w:t>
      </w:r>
      <w:r w:rsidRPr="00FC6BB1">
        <w:rPr>
          <w:rFonts w:ascii="Times New Roman" w:hAnsiTheme="minorEastAsia" w:cs="Times New Roman"/>
          <w:kern w:val="0"/>
        </w:rPr>
        <w:t>。其中报告涉及</w:t>
      </w:r>
      <w:r w:rsidRPr="00FC6BB1">
        <w:rPr>
          <w:rFonts w:ascii="Times New Roman" w:hAnsi="Times New Roman" w:cs="Times New Roman"/>
          <w:kern w:val="0"/>
        </w:rPr>
        <w:t>III</w:t>
      </w:r>
      <w:r w:rsidRPr="00FC6BB1">
        <w:rPr>
          <w:rFonts w:ascii="Times New Roman" w:hAnsiTheme="minorEastAsia" w:cs="Times New Roman"/>
          <w:kern w:val="0"/>
        </w:rPr>
        <w:t>类产品</w:t>
      </w:r>
      <w:r w:rsidR="00BA55C3">
        <w:rPr>
          <w:rFonts w:ascii="Times New Roman" w:hAnsi="Times New Roman" w:cs="Times New Roman" w:hint="eastAsia"/>
          <w:kern w:val="0"/>
        </w:rPr>
        <w:t>1243</w:t>
      </w:r>
      <w:r w:rsidRPr="00FC6BB1">
        <w:rPr>
          <w:rFonts w:ascii="Times New Roman" w:hAnsiTheme="minorEastAsia" w:cs="Times New Roman"/>
          <w:kern w:val="0"/>
        </w:rPr>
        <w:t>份，占</w:t>
      </w:r>
      <w:r w:rsidR="00BA55C3">
        <w:rPr>
          <w:rFonts w:ascii="Times New Roman" w:hAnsi="Times New Roman" w:cs="Times New Roman" w:hint="eastAsia"/>
          <w:kern w:val="0"/>
        </w:rPr>
        <w:t>71.11</w:t>
      </w:r>
      <w:r w:rsidRPr="00FC6BB1">
        <w:rPr>
          <w:rFonts w:ascii="Times New Roman" w:hAnsi="Times New Roman" w:cs="Times New Roman"/>
          <w:kern w:val="0"/>
        </w:rPr>
        <w:t>%</w:t>
      </w:r>
      <w:r w:rsidRPr="00FC6BB1">
        <w:rPr>
          <w:rFonts w:ascii="Times New Roman" w:hAnsiTheme="minorEastAsia" w:cs="Times New Roman"/>
          <w:kern w:val="0"/>
        </w:rPr>
        <w:t>；</w:t>
      </w:r>
      <w:r w:rsidRPr="00FC6BB1">
        <w:rPr>
          <w:rFonts w:ascii="Times New Roman" w:hAnsi="Times New Roman" w:cs="Times New Roman"/>
          <w:kern w:val="0"/>
        </w:rPr>
        <w:lastRenderedPageBreak/>
        <w:t>II</w:t>
      </w:r>
      <w:r w:rsidRPr="00FC6BB1">
        <w:rPr>
          <w:rFonts w:ascii="Times New Roman" w:hAnsiTheme="minorEastAsia" w:cs="Times New Roman"/>
          <w:kern w:val="0"/>
        </w:rPr>
        <w:t>类产品</w:t>
      </w:r>
      <w:r w:rsidR="00BA55C3">
        <w:rPr>
          <w:rFonts w:ascii="Times New Roman" w:hAnsi="Times New Roman" w:cs="Times New Roman" w:hint="eastAsia"/>
          <w:kern w:val="0"/>
        </w:rPr>
        <w:t>473</w:t>
      </w:r>
      <w:r w:rsidRPr="00FC6BB1">
        <w:rPr>
          <w:rFonts w:ascii="Times New Roman" w:hAnsiTheme="minorEastAsia" w:cs="Times New Roman"/>
          <w:kern w:val="0"/>
        </w:rPr>
        <w:t>份，占</w:t>
      </w:r>
      <w:r w:rsidR="00BA55C3">
        <w:rPr>
          <w:rFonts w:ascii="Times New Roman" w:hAnsi="Times New Roman" w:cs="Times New Roman" w:hint="eastAsia"/>
          <w:kern w:val="0"/>
        </w:rPr>
        <w:t>27.06</w:t>
      </w:r>
      <w:r w:rsidRPr="00FC6BB1">
        <w:rPr>
          <w:rFonts w:ascii="Times New Roman" w:hAnsi="Times New Roman" w:cs="Times New Roman"/>
          <w:kern w:val="0"/>
        </w:rPr>
        <w:t>%</w:t>
      </w:r>
      <w:r w:rsidRPr="00FC6BB1">
        <w:rPr>
          <w:rFonts w:ascii="Times New Roman" w:hAnsiTheme="minorEastAsia" w:cs="Times New Roman"/>
          <w:kern w:val="0"/>
        </w:rPr>
        <w:t>；</w:t>
      </w:r>
      <w:r w:rsidRPr="00FC6BB1">
        <w:rPr>
          <w:rFonts w:ascii="Times New Roman" w:hAnsi="Times New Roman" w:cs="Times New Roman"/>
          <w:kern w:val="0"/>
        </w:rPr>
        <w:t>I</w:t>
      </w:r>
      <w:r w:rsidRPr="00FC6BB1">
        <w:rPr>
          <w:rFonts w:ascii="Times New Roman" w:hAnsiTheme="minorEastAsia" w:cs="Times New Roman"/>
          <w:kern w:val="0"/>
        </w:rPr>
        <w:t>类产品</w:t>
      </w:r>
      <w:r w:rsidRPr="00FC6BB1">
        <w:rPr>
          <w:rFonts w:ascii="Times New Roman" w:hAnsi="Times New Roman" w:cs="Times New Roman"/>
          <w:kern w:val="0"/>
        </w:rPr>
        <w:t>3</w:t>
      </w:r>
      <w:r w:rsidR="00BA55C3">
        <w:rPr>
          <w:rFonts w:ascii="Times New Roman" w:hAnsi="Times New Roman" w:cs="Times New Roman" w:hint="eastAsia"/>
          <w:kern w:val="0"/>
        </w:rPr>
        <w:t>2</w:t>
      </w:r>
      <w:r w:rsidRPr="00FC6BB1">
        <w:rPr>
          <w:rFonts w:ascii="Times New Roman" w:hAnsiTheme="minorEastAsia" w:cs="Times New Roman"/>
          <w:kern w:val="0"/>
        </w:rPr>
        <w:t>份，占</w:t>
      </w:r>
      <w:r w:rsidR="00BA55C3">
        <w:rPr>
          <w:rFonts w:ascii="Times New Roman" w:hAnsi="Times New Roman" w:cs="Times New Roman" w:hint="eastAsia"/>
          <w:kern w:val="0"/>
        </w:rPr>
        <w:t>1.83</w:t>
      </w:r>
      <w:r w:rsidRPr="00FC6BB1">
        <w:rPr>
          <w:rFonts w:ascii="Times New Roman" w:hAnsi="Times New Roman" w:cs="Times New Roman"/>
          <w:kern w:val="0"/>
        </w:rPr>
        <w:t>%</w:t>
      </w:r>
      <w:r w:rsidR="003A5A96" w:rsidRPr="00FC6BB1">
        <w:rPr>
          <w:rFonts w:ascii="Times New Roman" w:hAnsiTheme="minorEastAsia" w:cs="Times New Roman"/>
          <w:kern w:val="0"/>
        </w:rPr>
        <w:t>（</w:t>
      </w:r>
      <w:fldSimple w:instr=" REF _Ref475535867 \h  \* MERGEFORMAT ">
        <w:r w:rsidR="00A36B80" w:rsidRPr="00A36B80">
          <w:rPr>
            <w:rFonts w:ascii="Times New Roman" w:hAnsiTheme="minorEastAsia" w:cs="Times New Roman"/>
            <w:kern w:val="0"/>
          </w:rPr>
          <w:t>图</w:t>
        </w:r>
        <w:r w:rsidR="00A36B80" w:rsidRPr="00FC6BB1">
          <w:rPr>
            <w:rFonts w:ascii="Times New Roman" w:hAnsi="Times New Roman" w:cs="Times New Roman"/>
          </w:rPr>
          <w:t xml:space="preserve"> </w:t>
        </w:r>
        <w:r w:rsidR="00A36B80">
          <w:rPr>
            <w:rFonts w:ascii="Times New Roman" w:hAnsi="Times New Roman" w:cs="Times New Roman"/>
            <w:noProof/>
          </w:rPr>
          <w:t>7</w:t>
        </w:r>
      </w:fldSimple>
      <w:r w:rsidR="003A5A96" w:rsidRPr="00FC6BB1">
        <w:rPr>
          <w:rFonts w:ascii="Times New Roman" w:hAnsiTheme="minorEastAsia" w:cs="Times New Roman"/>
          <w:kern w:val="0"/>
        </w:rPr>
        <w:t>）。</w:t>
      </w:r>
    </w:p>
    <w:p w:rsidR="003A5A96" w:rsidRPr="00FC6BB1" w:rsidRDefault="00BA55C3" w:rsidP="00FC6BB1">
      <w:pPr>
        <w:widowControl/>
        <w:shd w:val="clear" w:color="auto" w:fill="FFFFFF"/>
        <w:spacing w:line="276" w:lineRule="auto"/>
        <w:jc w:val="center"/>
        <w:rPr>
          <w:rFonts w:ascii="Times New Roman" w:eastAsia="微软雅黑" w:hAnsi="Times New Roman" w:cs="Times New Roman"/>
          <w:kern w:val="0"/>
          <w:szCs w:val="21"/>
        </w:rPr>
      </w:pPr>
      <w:r w:rsidRPr="00BA55C3">
        <w:rPr>
          <w:rFonts w:ascii="Times New Roman" w:eastAsia="微软雅黑" w:hAnsi="Times New Roman" w:cs="Times New Roman"/>
          <w:noProof/>
          <w:kern w:val="0"/>
          <w:szCs w:val="21"/>
        </w:rPr>
        <w:drawing>
          <wp:inline distT="0" distB="0" distL="0" distR="0">
            <wp:extent cx="4572000" cy="2743200"/>
            <wp:effectExtent l="19050" t="0" r="19050" b="0"/>
            <wp:docPr id="2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1447" w:rsidRPr="00DD4CAD" w:rsidRDefault="003A5A96" w:rsidP="00DD4CAD">
      <w:pPr>
        <w:pStyle w:val="a5"/>
        <w:spacing w:line="276" w:lineRule="auto"/>
        <w:jc w:val="center"/>
        <w:rPr>
          <w:rFonts w:ascii="Times New Roman" w:eastAsia="微软雅黑" w:hAnsi="Times New Roman" w:cs="Times New Roman"/>
          <w:kern w:val="0"/>
          <w:szCs w:val="21"/>
        </w:rPr>
      </w:pPr>
      <w:bookmarkStart w:id="9" w:name="_Ref475535867"/>
      <w:r w:rsidRPr="00FC6BB1">
        <w:rPr>
          <w:rFonts w:ascii="Times New Roman" w:cs="Times New Roman"/>
        </w:rPr>
        <w:t>图</w:t>
      </w:r>
      <w:r w:rsidRPr="00FC6BB1">
        <w:rPr>
          <w:rFonts w:ascii="Times New Roman" w:hAnsi="Times New Roman" w:cs="Times New Roman"/>
        </w:rPr>
        <w:t xml:space="preserve"> </w:t>
      </w:r>
      <w:r w:rsidR="00AF257A" w:rsidRPr="00FC6BB1">
        <w:rPr>
          <w:rFonts w:ascii="Times New Roman" w:hAnsi="Times New Roman" w:cs="Times New Roman"/>
        </w:rPr>
        <w:fldChar w:fldCharType="begin"/>
      </w:r>
      <w:r w:rsidR="00863E79" w:rsidRPr="00FC6BB1">
        <w:rPr>
          <w:rFonts w:ascii="Times New Roman" w:hAnsi="Times New Roman" w:cs="Times New Roman"/>
        </w:rPr>
        <w:instrText xml:space="preserve"> SEQ </w:instrText>
      </w:r>
      <w:r w:rsidR="00863E79" w:rsidRPr="00FC6BB1">
        <w:rPr>
          <w:rFonts w:ascii="Times New Roman" w:cs="Times New Roman"/>
        </w:rPr>
        <w:instrText>图</w:instrText>
      </w:r>
      <w:r w:rsidR="00863E79" w:rsidRPr="00FC6BB1">
        <w:rPr>
          <w:rFonts w:ascii="Times New Roman" w:hAnsi="Times New Roman" w:cs="Times New Roman"/>
        </w:rPr>
        <w:instrText xml:space="preserve"> \* ARABIC </w:instrText>
      </w:r>
      <w:r w:rsidR="00AF257A" w:rsidRPr="00FC6BB1">
        <w:rPr>
          <w:rFonts w:ascii="Times New Roman" w:hAnsi="Times New Roman" w:cs="Times New Roman"/>
        </w:rPr>
        <w:fldChar w:fldCharType="separate"/>
      </w:r>
      <w:r w:rsidR="00A36B80">
        <w:rPr>
          <w:rFonts w:ascii="Times New Roman" w:hAnsi="Times New Roman" w:cs="Times New Roman"/>
          <w:noProof/>
        </w:rPr>
        <w:t>7</w:t>
      </w:r>
      <w:r w:rsidR="00AF257A" w:rsidRPr="00FC6BB1">
        <w:rPr>
          <w:rFonts w:ascii="Times New Roman" w:hAnsi="Times New Roman" w:cs="Times New Roman"/>
        </w:rPr>
        <w:fldChar w:fldCharType="end"/>
      </w:r>
      <w:bookmarkEnd w:id="9"/>
      <w:r w:rsidRPr="00FC6BB1">
        <w:rPr>
          <w:rFonts w:ascii="Times New Roman" w:hAnsi="Times New Roman" w:cs="Times New Roman"/>
        </w:rPr>
        <w:t xml:space="preserve">. </w:t>
      </w:r>
      <w:r w:rsidRPr="00FC6BB1">
        <w:rPr>
          <w:rFonts w:ascii="Times New Roman" w:eastAsia="微软雅黑" w:hAnsi="微软雅黑" w:cs="Times New Roman"/>
          <w:kern w:val="0"/>
        </w:rPr>
        <w:t>可疑医疗器械不良事件报告</w:t>
      </w:r>
      <w:r w:rsidRPr="00FC6BB1">
        <w:rPr>
          <w:rFonts w:ascii="Times New Roman" w:eastAsia="微软雅黑" w:hAnsi="微软雅黑" w:cs="Times New Roman"/>
          <w:kern w:val="0"/>
          <w:szCs w:val="21"/>
        </w:rPr>
        <w:t>涉及上海生产企业</w:t>
      </w:r>
      <w:r w:rsidR="00E66065" w:rsidRPr="00FC6BB1">
        <w:rPr>
          <w:rFonts w:ascii="Times New Roman" w:eastAsia="微软雅黑" w:hAnsi="微软雅黑" w:cs="Times New Roman"/>
          <w:kern w:val="0"/>
          <w:szCs w:val="21"/>
        </w:rPr>
        <w:t>（包含进口总代）</w:t>
      </w:r>
      <w:r w:rsidRPr="00FC6BB1">
        <w:rPr>
          <w:rFonts w:ascii="Times New Roman" w:eastAsia="微软雅黑" w:hAnsi="微软雅黑" w:cs="Times New Roman"/>
          <w:kern w:val="0"/>
          <w:szCs w:val="21"/>
        </w:rPr>
        <w:t>的产品的管理类别分析</w:t>
      </w:r>
    </w:p>
    <w:p w:rsidR="003A5A96" w:rsidRPr="00FC6BB1" w:rsidRDefault="00A36B80" w:rsidP="00FC6BB1">
      <w:pPr>
        <w:widowControl/>
        <w:shd w:val="clear" w:color="auto" w:fill="FFFFFF"/>
        <w:spacing w:line="276" w:lineRule="auto"/>
        <w:ind w:firstLineChars="201" w:firstLine="422"/>
        <w:jc w:val="left"/>
        <w:outlineLvl w:val="0"/>
        <w:rPr>
          <w:rFonts w:ascii="Times New Roman" w:eastAsia="微软雅黑" w:hAnsi="Times New Roman" w:cs="Times New Roman"/>
          <w:kern w:val="0"/>
          <w:szCs w:val="21"/>
        </w:rPr>
      </w:pPr>
      <w:r>
        <w:rPr>
          <w:rFonts w:ascii="Times New Roman" w:eastAsia="微软雅黑" w:hAnsi="微软雅黑" w:cs="Times New Roman" w:hint="eastAsia"/>
          <w:b/>
          <w:bCs/>
          <w:kern w:val="0"/>
          <w:szCs w:val="21"/>
        </w:rPr>
        <w:t>6.</w:t>
      </w:r>
      <w:r w:rsidR="003A5A96" w:rsidRPr="00FC6BB1">
        <w:rPr>
          <w:rFonts w:ascii="Times New Roman" w:eastAsia="微软雅黑" w:hAnsi="微软雅黑" w:cs="Times New Roman"/>
          <w:b/>
          <w:bCs/>
          <w:kern w:val="0"/>
          <w:szCs w:val="21"/>
        </w:rPr>
        <w:t>医疗器械产品分类分析</w:t>
      </w:r>
    </w:p>
    <w:p w:rsidR="003A5A96" w:rsidRPr="00DD4CAD" w:rsidRDefault="00FC6BB1" w:rsidP="00FC6BB1">
      <w:pPr>
        <w:spacing w:line="276" w:lineRule="auto"/>
        <w:ind w:firstLineChars="202" w:firstLine="424"/>
        <w:rPr>
          <w:rFonts w:ascii="Times New Roman" w:hAnsi="Times New Roman" w:cs="Times New Roman"/>
          <w:kern w:val="0"/>
        </w:rPr>
      </w:pPr>
      <w:r w:rsidRPr="00DD4CAD">
        <w:rPr>
          <w:rFonts w:ascii="Times New Roman" w:hAnsiTheme="minorEastAsia" w:cs="Times New Roman"/>
          <w:kern w:val="0"/>
        </w:rPr>
        <w:t>按</w:t>
      </w:r>
      <w:r w:rsidR="002D7416">
        <w:rPr>
          <w:rFonts w:ascii="Times New Roman" w:hAnsiTheme="minorEastAsia" w:cs="Times New Roman" w:hint="eastAsia"/>
          <w:kern w:val="0"/>
        </w:rPr>
        <w:t>旧版</w:t>
      </w:r>
      <w:r w:rsidRPr="00DD4CAD">
        <w:rPr>
          <w:rFonts w:ascii="Times New Roman" w:hAnsiTheme="minorEastAsia" w:cs="Times New Roman"/>
          <w:kern w:val="0"/>
        </w:rPr>
        <w:t>的《医疗器械分类目录》，</w:t>
      </w:r>
      <w:r w:rsidRPr="00DD4CAD">
        <w:rPr>
          <w:rFonts w:ascii="Times New Roman" w:hAnsi="Times New Roman" w:cs="Times New Roman"/>
          <w:kern w:val="0"/>
        </w:rPr>
        <w:t>2018</w:t>
      </w:r>
      <w:r w:rsidR="00BA55C3" w:rsidRPr="00DD4CAD">
        <w:rPr>
          <w:rFonts w:ascii="Times New Roman" w:hAnsiTheme="minorEastAsia" w:cs="Times New Roman"/>
          <w:kern w:val="0"/>
        </w:rPr>
        <w:t>年第</w:t>
      </w:r>
      <w:r w:rsidR="00BA55C3" w:rsidRPr="00DD4CAD">
        <w:rPr>
          <w:rFonts w:ascii="Times New Roman" w:hAnsiTheme="minorEastAsia" w:cs="Times New Roman" w:hint="eastAsia"/>
          <w:kern w:val="0"/>
        </w:rPr>
        <w:t>三</w:t>
      </w:r>
      <w:r w:rsidRPr="00DD4CAD">
        <w:rPr>
          <w:rFonts w:ascii="Times New Roman" w:hAnsiTheme="minorEastAsia" w:cs="Times New Roman"/>
          <w:kern w:val="0"/>
        </w:rPr>
        <w:t>季度本市收到的可疑医疗器械不良事件报告涉及了</w:t>
      </w:r>
      <w:r w:rsidRPr="00DD4CAD">
        <w:rPr>
          <w:rFonts w:ascii="Times New Roman" w:hAnsi="Times New Roman" w:cs="Times New Roman"/>
          <w:kern w:val="0"/>
        </w:rPr>
        <w:t>3</w:t>
      </w:r>
      <w:r w:rsidR="007A17AB" w:rsidRPr="00DD4CAD">
        <w:rPr>
          <w:rFonts w:ascii="Times New Roman" w:hAnsi="Times New Roman" w:cs="Times New Roman" w:hint="eastAsia"/>
          <w:kern w:val="0"/>
        </w:rPr>
        <w:t>7</w:t>
      </w:r>
      <w:r w:rsidRPr="00DD4CAD">
        <w:rPr>
          <w:rFonts w:ascii="Times New Roman" w:hAnsiTheme="minorEastAsia" w:cs="Times New Roman"/>
          <w:kern w:val="0"/>
        </w:rPr>
        <w:t>类产品，比上一季度类别数</w:t>
      </w:r>
      <w:r w:rsidR="007A17AB" w:rsidRPr="00DD4CAD">
        <w:rPr>
          <w:rFonts w:ascii="Times New Roman" w:hAnsiTheme="minorEastAsia" w:cs="Times New Roman" w:hint="eastAsia"/>
          <w:kern w:val="0"/>
        </w:rPr>
        <w:t>多</w:t>
      </w:r>
      <w:r w:rsidR="007A17AB" w:rsidRPr="00DD4CAD">
        <w:rPr>
          <w:rFonts w:ascii="Times New Roman" w:hAnsi="Times New Roman" w:cs="Times New Roman" w:hint="eastAsia"/>
          <w:kern w:val="0"/>
        </w:rPr>
        <w:t>2</w:t>
      </w:r>
      <w:r w:rsidRPr="00DD4CAD">
        <w:rPr>
          <w:rFonts w:ascii="Times New Roman" w:hAnsiTheme="minorEastAsia" w:cs="Times New Roman"/>
          <w:kern w:val="0"/>
        </w:rPr>
        <w:t>类。各类产品涉及的报告数量如</w:t>
      </w:r>
      <w:fldSimple w:instr=" REF _Ref485047407 \h  \* MERGEFORMAT ">
        <w:r w:rsidR="00A36B80" w:rsidRPr="00A36B80">
          <w:rPr>
            <w:rFonts w:ascii="Times New Roman" w:hAnsiTheme="minorEastAsia" w:cs="Times New Roman"/>
            <w:kern w:val="0"/>
          </w:rPr>
          <w:t>表</w:t>
        </w:r>
        <w:r w:rsidR="00A36B80" w:rsidRPr="00A36B80">
          <w:rPr>
            <w:rFonts w:ascii="Times New Roman" w:hAnsi="Times New Roman" w:cs="Times New Roman"/>
            <w:kern w:val="0"/>
          </w:rPr>
          <w:t xml:space="preserve"> 1</w:t>
        </w:r>
      </w:fldSimple>
      <w:r w:rsidR="003A5A96" w:rsidRPr="00DD4CAD">
        <w:rPr>
          <w:rFonts w:ascii="Times New Roman" w:hAnsiTheme="minorEastAsia" w:cs="Times New Roman"/>
          <w:kern w:val="0"/>
        </w:rPr>
        <w:t>所示。</w:t>
      </w:r>
    </w:p>
    <w:p w:rsidR="003A5A96" w:rsidRPr="00FC6BB1" w:rsidRDefault="00791447" w:rsidP="00FC6BB1">
      <w:pPr>
        <w:pStyle w:val="a5"/>
        <w:spacing w:line="276" w:lineRule="auto"/>
        <w:jc w:val="center"/>
        <w:rPr>
          <w:rFonts w:ascii="Times New Roman" w:eastAsia="微软雅黑" w:hAnsi="Times New Roman" w:cs="Times New Roman"/>
          <w:kern w:val="0"/>
          <w:szCs w:val="21"/>
        </w:rPr>
      </w:pPr>
      <w:bookmarkStart w:id="10" w:name="_Ref485047407"/>
      <w:r w:rsidRPr="00FC6BB1">
        <w:rPr>
          <w:rFonts w:ascii="Times New Roman" w:cs="Times New Roman"/>
        </w:rPr>
        <w:t>表</w:t>
      </w:r>
      <w:r w:rsidRPr="00FC6BB1">
        <w:rPr>
          <w:rFonts w:ascii="Times New Roman" w:hAnsi="Times New Roman" w:cs="Times New Roman"/>
        </w:rPr>
        <w:t xml:space="preserve"> </w:t>
      </w:r>
      <w:r w:rsidR="00AF257A" w:rsidRPr="00FC6BB1">
        <w:rPr>
          <w:rFonts w:ascii="Times New Roman" w:hAnsi="Times New Roman" w:cs="Times New Roman"/>
        </w:rPr>
        <w:fldChar w:fldCharType="begin"/>
      </w:r>
      <w:r w:rsidRPr="00FC6BB1">
        <w:rPr>
          <w:rFonts w:ascii="Times New Roman" w:hAnsi="Times New Roman" w:cs="Times New Roman"/>
        </w:rPr>
        <w:instrText xml:space="preserve"> SEQ </w:instrText>
      </w:r>
      <w:r w:rsidRPr="00FC6BB1">
        <w:rPr>
          <w:rFonts w:ascii="Times New Roman" w:cs="Times New Roman"/>
        </w:rPr>
        <w:instrText>表</w:instrText>
      </w:r>
      <w:r w:rsidRPr="00FC6BB1">
        <w:rPr>
          <w:rFonts w:ascii="Times New Roman" w:hAnsi="Times New Roman" w:cs="Times New Roman"/>
        </w:rPr>
        <w:instrText xml:space="preserve"> \* ARABIC </w:instrText>
      </w:r>
      <w:r w:rsidR="00AF257A" w:rsidRPr="00FC6BB1">
        <w:rPr>
          <w:rFonts w:ascii="Times New Roman" w:hAnsi="Times New Roman" w:cs="Times New Roman"/>
        </w:rPr>
        <w:fldChar w:fldCharType="separate"/>
      </w:r>
      <w:r w:rsidR="00A36B80">
        <w:rPr>
          <w:rFonts w:ascii="Times New Roman" w:hAnsi="Times New Roman" w:cs="Times New Roman"/>
          <w:noProof/>
        </w:rPr>
        <w:t>1</w:t>
      </w:r>
      <w:r w:rsidR="00AF257A" w:rsidRPr="00FC6BB1">
        <w:rPr>
          <w:rFonts w:ascii="Times New Roman" w:hAnsi="Times New Roman" w:cs="Times New Roman"/>
        </w:rPr>
        <w:fldChar w:fldCharType="end"/>
      </w:r>
      <w:bookmarkEnd w:id="10"/>
      <w:r w:rsidR="00A05870" w:rsidRPr="00FC6BB1">
        <w:rPr>
          <w:rFonts w:ascii="Times New Roman" w:eastAsia="微软雅黑" w:hAnsi="Times New Roman" w:cs="Times New Roman"/>
          <w:kern w:val="0"/>
          <w:szCs w:val="21"/>
        </w:rPr>
        <w:t>.  201</w:t>
      </w:r>
      <w:r w:rsidR="00FC6BB1" w:rsidRPr="00FC6BB1">
        <w:rPr>
          <w:rFonts w:ascii="Times New Roman" w:eastAsia="微软雅黑" w:hAnsi="Times New Roman" w:cs="Times New Roman"/>
          <w:kern w:val="0"/>
          <w:szCs w:val="21"/>
        </w:rPr>
        <w:t>8</w:t>
      </w:r>
      <w:r w:rsidR="003A5A96" w:rsidRPr="00FC6BB1">
        <w:rPr>
          <w:rFonts w:ascii="Times New Roman" w:eastAsia="微软雅黑" w:hAnsi="微软雅黑" w:cs="Times New Roman"/>
          <w:kern w:val="0"/>
          <w:szCs w:val="21"/>
        </w:rPr>
        <w:t>年</w:t>
      </w:r>
      <w:r w:rsidR="00C941AC" w:rsidRPr="00FC6BB1">
        <w:rPr>
          <w:rFonts w:ascii="Times New Roman" w:eastAsia="微软雅黑" w:hAnsi="微软雅黑" w:cs="Times New Roman"/>
          <w:kern w:val="0"/>
          <w:szCs w:val="21"/>
        </w:rPr>
        <w:t>第</w:t>
      </w:r>
      <w:r w:rsidR="00BA55C3">
        <w:rPr>
          <w:rFonts w:ascii="Times New Roman" w:eastAsia="微软雅黑" w:hAnsi="微软雅黑" w:cs="Times New Roman" w:hint="eastAsia"/>
          <w:kern w:val="0"/>
          <w:szCs w:val="21"/>
        </w:rPr>
        <w:t>三</w:t>
      </w:r>
      <w:r w:rsidR="00A05870" w:rsidRPr="00FC6BB1">
        <w:rPr>
          <w:rFonts w:ascii="Times New Roman" w:eastAsia="微软雅黑" w:hAnsi="微软雅黑" w:cs="Times New Roman"/>
          <w:kern w:val="0"/>
          <w:szCs w:val="21"/>
        </w:rPr>
        <w:t>季度</w:t>
      </w:r>
      <w:r w:rsidR="00B5359F" w:rsidRPr="00FC6BB1">
        <w:rPr>
          <w:rFonts w:ascii="Times New Roman" w:eastAsia="微软雅黑" w:hAnsi="微软雅黑" w:cs="Times New Roman"/>
          <w:kern w:val="0"/>
          <w:szCs w:val="21"/>
        </w:rPr>
        <w:t>不良事件</w:t>
      </w:r>
      <w:r w:rsidR="003A5A96" w:rsidRPr="00FC6BB1">
        <w:rPr>
          <w:rFonts w:ascii="Times New Roman" w:eastAsia="微软雅黑" w:hAnsi="微软雅黑" w:cs="Times New Roman"/>
          <w:kern w:val="0"/>
        </w:rPr>
        <w:t>报告</w:t>
      </w:r>
      <w:r w:rsidR="00B5359F" w:rsidRPr="00FC6BB1">
        <w:rPr>
          <w:rFonts w:ascii="Times New Roman" w:eastAsia="微软雅黑" w:hAnsi="微软雅黑" w:cs="Times New Roman"/>
          <w:kern w:val="0"/>
          <w:szCs w:val="21"/>
        </w:rPr>
        <w:t>涉及</w:t>
      </w:r>
      <w:r w:rsidR="003A5A96" w:rsidRPr="00FC6BB1">
        <w:rPr>
          <w:rFonts w:ascii="Times New Roman" w:eastAsia="微软雅黑" w:hAnsi="微软雅黑" w:cs="Times New Roman"/>
          <w:kern w:val="0"/>
          <w:szCs w:val="21"/>
        </w:rPr>
        <w:t>产品分类</w:t>
      </w:r>
      <w:r w:rsidR="00B5359F" w:rsidRPr="00FC6BB1">
        <w:rPr>
          <w:rFonts w:ascii="Times New Roman" w:eastAsia="微软雅黑" w:hAnsi="微软雅黑" w:cs="Times New Roman"/>
          <w:kern w:val="0"/>
          <w:szCs w:val="21"/>
        </w:rPr>
        <w:t>及比例</w:t>
      </w:r>
    </w:p>
    <w:tbl>
      <w:tblPr>
        <w:tblStyle w:val="a7"/>
        <w:tblW w:w="8245" w:type="dxa"/>
        <w:jc w:val="center"/>
        <w:tblLook w:val="04A0"/>
      </w:tblPr>
      <w:tblGrid>
        <w:gridCol w:w="679"/>
        <w:gridCol w:w="4820"/>
        <w:gridCol w:w="1275"/>
        <w:gridCol w:w="1471"/>
      </w:tblGrid>
      <w:tr w:rsidR="00D95D5D" w:rsidRPr="00FC6BB1" w:rsidTr="00D95D5D">
        <w:trPr>
          <w:trHeight w:val="270"/>
          <w:jc w:val="center"/>
        </w:trPr>
        <w:tc>
          <w:tcPr>
            <w:tcW w:w="6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5D5D" w:rsidRPr="00FC6BB1" w:rsidRDefault="00D95D5D" w:rsidP="00FC6BB1">
            <w:pPr>
              <w:widowControl/>
              <w:wordWrap w:val="0"/>
              <w:spacing w:line="276" w:lineRule="auto"/>
              <w:rPr>
                <w:rFonts w:ascii="Times New Roman" w:eastAsia="微软雅黑" w:hAnsi="Times New Roman" w:cs="Times New Roman"/>
                <w:kern w:val="0"/>
                <w:sz w:val="18"/>
                <w:szCs w:val="18"/>
              </w:rPr>
            </w:pPr>
            <w:r w:rsidRPr="00FC6BB1">
              <w:rPr>
                <w:rFonts w:ascii="Times New Roman" w:eastAsia="微软雅黑" w:hAnsi="微软雅黑" w:cs="Times New Roman"/>
                <w:kern w:val="0"/>
                <w:sz w:val="18"/>
                <w:szCs w:val="18"/>
              </w:rPr>
              <w:t>排名</w:t>
            </w:r>
          </w:p>
        </w:tc>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5D5D" w:rsidRPr="00FC6BB1" w:rsidRDefault="00D95D5D" w:rsidP="00FC6BB1">
            <w:pPr>
              <w:widowControl/>
              <w:wordWrap w:val="0"/>
              <w:spacing w:line="276" w:lineRule="auto"/>
              <w:rPr>
                <w:rFonts w:ascii="Times New Roman" w:eastAsia="微软雅黑" w:hAnsi="Times New Roman" w:cs="Times New Roman"/>
                <w:kern w:val="0"/>
                <w:sz w:val="18"/>
                <w:szCs w:val="18"/>
              </w:rPr>
            </w:pPr>
            <w:r w:rsidRPr="00FC6BB1">
              <w:rPr>
                <w:rFonts w:ascii="Times New Roman" w:eastAsia="微软雅黑" w:hAnsi="微软雅黑" w:cs="Times New Roman"/>
                <w:kern w:val="0"/>
                <w:sz w:val="18"/>
                <w:szCs w:val="18"/>
              </w:rPr>
              <w:t>产品分类</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5D5D" w:rsidRPr="00FC6BB1" w:rsidRDefault="00D95D5D" w:rsidP="00FC6BB1">
            <w:pPr>
              <w:widowControl/>
              <w:wordWrap w:val="0"/>
              <w:spacing w:line="276" w:lineRule="auto"/>
              <w:jc w:val="center"/>
              <w:rPr>
                <w:rFonts w:ascii="Times New Roman" w:eastAsia="微软雅黑" w:hAnsi="Times New Roman" w:cs="Times New Roman"/>
                <w:kern w:val="0"/>
                <w:sz w:val="18"/>
                <w:szCs w:val="18"/>
              </w:rPr>
            </w:pPr>
            <w:r w:rsidRPr="00FC6BB1">
              <w:rPr>
                <w:rFonts w:ascii="Times New Roman" w:eastAsia="微软雅黑" w:hAnsi="微软雅黑" w:cs="Times New Roman"/>
                <w:kern w:val="0"/>
                <w:sz w:val="18"/>
                <w:szCs w:val="18"/>
              </w:rPr>
              <w:t>报告数</w:t>
            </w:r>
          </w:p>
        </w:tc>
        <w:tc>
          <w:tcPr>
            <w:tcW w:w="1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5D5D" w:rsidRPr="00FC6BB1" w:rsidRDefault="00FA6FD7" w:rsidP="00FC6BB1">
            <w:pPr>
              <w:widowControl/>
              <w:wordWrap w:val="0"/>
              <w:spacing w:line="276" w:lineRule="auto"/>
              <w:jc w:val="center"/>
              <w:rPr>
                <w:rFonts w:ascii="Times New Roman" w:eastAsia="微软雅黑" w:hAnsi="Times New Roman" w:cs="Times New Roman"/>
                <w:kern w:val="0"/>
                <w:sz w:val="18"/>
                <w:szCs w:val="18"/>
              </w:rPr>
            </w:pPr>
            <w:r w:rsidRPr="00FC6BB1">
              <w:rPr>
                <w:rFonts w:ascii="Times New Roman" w:eastAsia="微软雅黑" w:hAnsi="微软雅黑" w:cs="Times New Roman"/>
                <w:kern w:val="0"/>
                <w:sz w:val="18"/>
                <w:szCs w:val="18"/>
              </w:rPr>
              <w:t>百分比</w:t>
            </w:r>
          </w:p>
        </w:tc>
      </w:tr>
      <w:tr w:rsidR="007A17AB" w:rsidRPr="00FC6BB1" w:rsidTr="00DD4CAD">
        <w:trPr>
          <w:trHeight w:val="274"/>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427992372"/>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021008474"/>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6866医用高分子材料及制品</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1332295841"/>
              <w:rPr>
                <w:rFonts w:ascii="微软雅黑" w:eastAsia="微软雅黑" w:hAnsi="微软雅黑" w:cs="宋体"/>
                <w:color w:val="000000"/>
                <w:sz w:val="18"/>
                <w:szCs w:val="18"/>
              </w:rPr>
            </w:pPr>
            <w:hyperlink r:id="rId14" w:history="1">
              <w:r w:rsidR="007A17AB" w:rsidRPr="007A17AB">
                <w:rPr>
                  <w:rStyle w:val="aa"/>
                  <w:rFonts w:ascii="微软雅黑" w:eastAsia="微软雅黑" w:hAnsi="微软雅黑" w:hint="eastAsia"/>
                  <w:color w:val="333333"/>
                  <w:sz w:val="18"/>
                  <w:szCs w:val="18"/>
                  <w:u w:val="none"/>
                </w:rPr>
                <w:t>385</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2124881223"/>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15.13%</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867568277"/>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88105824"/>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6821医用电子仪器设备</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735973552"/>
              <w:rPr>
                <w:rFonts w:ascii="微软雅黑" w:eastAsia="微软雅黑" w:hAnsi="微软雅黑" w:cs="宋体"/>
                <w:color w:val="000000"/>
                <w:sz w:val="18"/>
                <w:szCs w:val="18"/>
              </w:rPr>
            </w:pPr>
            <w:hyperlink r:id="rId15" w:history="1">
              <w:r w:rsidR="007A17AB" w:rsidRPr="007A17AB">
                <w:rPr>
                  <w:rStyle w:val="aa"/>
                  <w:rFonts w:ascii="微软雅黑" w:eastAsia="微软雅黑" w:hAnsi="微软雅黑" w:hint="eastAsia"/>
                  <w:color w:val="333333"/>
                  <w:sz w:val="18"/>
                  <w:szCs w:val="18"/>
                  <w:u w:val="none"/>
                </w:rPr>
                <w:t>333</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821966371"/>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13.09%</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2109301543"/>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2690282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6846植入材料和人工器官</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420489070"/>
              <w:rPr>
                <w:rFonts w:ascii="微软雅黑" w:eastAsia="微软雅黑" w:hAnsi="微软雅黑" w:cs="宋体"/>
                <w:color w:val="000000"/>
                <w:sz w:val="18"/>
                <w:szCs w:val="18"/>
              </w:rPr>
            </w:pPr>
            <w:hyperlink r:id="rId16" w:history="1">
              <w:r w:rsidR="007A17AB" w:rsidRPr="007A17AB">
                <w:rPr>
                  <w:rStyle w:val="aa"/>
                  <w:rFonts w:ascii="微软雅黑" w:eastAsia="微软雅黑" w:hAnsi="微软雅黑" w:hint="eastAsia"/>
                  <w:color w:val="333333"/>
                  <w:sz w:val="18"/>
                  <w:szCs w:val="18"/>
                  <w:u w:val="none"/>
                </w:rPr>
                <w:t>200</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747265595"/>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7.86%</w:t>
            </w:r>
          </w:p>
        </w:tc>
      </w:tr>
      <w:tr w:rsidR="007A17AB" w:rsidRPr="00FC6BB1" w:rsidTr="00DD4CAD">
        <w:trPr>
          <w:trHeight w:val="33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592396904"/>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02459556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6815注射穿刺器械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357783495"/>
              <w:rPr>
                <w:rFonts w:ascii="微软雅黑" w:eastAsia="微软雅黑" w:hAnsi="微软雅黑" w:cs="宋体"/>
                <w:color w:val="000000"/>
                <w:sz w:val="18"/>
                <w:szCs w:val="18"/>
              </w:rPr>
            </w:pPr>
            <w:hyperlink r:id="rId17" w:history="1">
              <w:r w:rsidR="007A17AB" w:rsidRPr="007A17AB">
                <w:rPr>
                  <w:rStyle w:val="aa"/>
                  <w:rFonts w:ascii="微软雅黑" w:eastAsia="微软雅黑" w:hAnsi="微软雅黑" w:hint="eastAsia"/>
                  <w:color w:val="333333"/>
                  <w:sz w:val="18"/>
                  <w:szCs w:val="18"/>
                  <w:u w:val="none"/>
                </w:rPr>
                <w:t>180</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25984775"/>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7.08%</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44422320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300771547"/>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6845体外循环及血液处理设备</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189493578"/>
              <w:rPr>
                <w:rFonts w:ascii="微软雅黑" w:eastAsia="微软雅黑" w:hAnsi="微软雅黑" w:cs="宋体"/>
                <w:color w:val="000000"/>
                <w:sz w:val="18"/>
                <w:szCs w:val="18"/>
              </w:rPr>
            </w:pPr>
            <w:hyperlink r:id="rId18" w:history="1">
              <w:r w:rsidR="007A17AB" w:rsidRPr="007A17AB">
                <w:rPr>
                  <w:rStyle w:val="aa"/>
                  <w:rFonts w:ascii="微软雅黑" w:eastAsia="微软雅黑" w:hAnsi="微软雅黑" w:hint="eastAsia"/>
                  <w:color w:val="333333"/>
                  <w:sz w:val="18"/>
                  <w:szCs w:val="18"/>
                  <w:u w:val="none"/>
                </w:rPr>
                <w:t>169</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073089804"/>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6.64%</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266276751"/>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2138177927"/>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6826物理治疗及康复设备</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591819148"/>
              <w:rPr>
                <w:rFonts w:ascii="微软雅黑" w:eastAsia="微软雅黑" w:hAnsi="微软雅黑" w:cs="宋体"/>
                <w:color w:val="000000"/>
                <w:sz w:val="18"/>
                <w:szCs w:val="18"/>
              </w:rPr>
            </w:pPr>
            <w:hyperlink r:id="rId19" w:history="1">
              <w:r w:rsidR="007A17AB" w:rsidRPr="007A17AB">
                <w:rPr>
                  <w:rStyle w:val="aa"/>
                  <w:rFonts w:ascii="微软雅黑" w:eastAsia="微软雅黑" w:hAnsi="微软雅黑" w:hint="eastAsia"/>
                  <w:color w:val="333333"/>
                  <w:sz w:val="18"/>
                  <w:szCs w:val="18"/>
                  <w:u w:val="none"/>
                </w:rPr>
                <w:t>134</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81811558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5.27%</w:t>
            </w:r>
          </w:p>
        </w:tc>
      </w:tr>
      <w:tr w:rsidR="007A17AB" w:rsidRPr="00FC6BB1" w:rsidTr="00DD4CAD">
        <w:trPr>
          <w:trHeight w:val="345"/>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282269233"/>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532956594"/>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6877介入器材</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428740500"/>
              <w:rPr>
                <w:rFonts w:ascii="微软雅黑" w:eastAsia="微软雅黑" w:hAnsi="微软雅黑" w:cs="宋体"/>
                <w:color w:val="000000"/>
                <w:sz w:val="18"/>
                <w:szCs w:val="18"/>
              </w:rPr>
            </w:pPr>
            <w:hyperlink r:id="rId20" w:history="1">
              <w:r w:rsidR="007A17AB" w:rsidRPr="007A17AB">
                <w:rPr>
                  <w:rStyle w:val="aa"/>
                  <w:rFonts w:ascii="微软雅黑" w:eastAsia="微软雅黑" w:hAnsi="微软雅黑" w:hint="eastAsia"/>
                  <w:color w:val="333333"/>
                  <w:sz w:val="18"/>
                  <w:szCs w:val="18"/>
                  <w:u w:val="none"/>
                </w:rPr>
                <w:t>129</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607740415"/>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5.07%</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52903390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591115205"/>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6840临床检验分析仪器</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385033322"/>
              <w:rPr>
                <w:rFonts w:ascii="微软雅黑" w:eastAsia="微软雅黑" w:hAnsi="微软雅黑" w:cs="宋体"/>
                <w:color w:val="000000"/>
                <w:sz w:val="18"/>
                <w:szCs w:val="18"/>
              </w:rPr>
            </w:pPr>
            <w:hyperlink r:id="rId21" w:history="1">
              <w:r w:rsidR="007A17AB" w:rsidRPr="007A17AB">
                <w:rPr>
                  <w:rStyle w:val="aa"/>
                  <w:rFonts w:ascii="微软雅黑" w:eastAsia="微软雅黑" w:hAnsi="微软雅黑" w:hint="eastAsia"/>
                  <w:color w:val="333333"/>
                  <w:sz w:val="18"/>
                  <w:szCs w:val="18"/>
                  <w:u w:val="none"/>
                </w:rPr>
                <w:t>98</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408625492"/>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3.85%</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820850571"/>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61563103"/>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不详</w:t>
            </w:r>
            <w:r>
              <w:rPr>
                <w:rFonts w:ascii="微软雅黑" w:eastAsia="微软雅黑" w:hAnsi="微软雅黑" w:hint="eastAsia"/>
                <w:color w:val="000000"/>
                <w:sz w:val="18"/>
                <w:szCs w:val="18"/>
              </w:rPr>
              <w:t>（一类）</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25493887"/>
              <w:rPr>
                <w:rFonts w:ascii="微软雅黑" w:eastAsia="微软雅黑" w:hAnsi="微软雅黑" w:cs="宋体"/>
                <w:color w:val="000000"/>
                <w:sz w:val="18"/>
                <w:szCs w:val="18"/>
              </w:rPr>
            </w:pPr>
            <w:hyperlink r:id="rId22" w:history="1">
              <w:r w:rsidR="007A17AB" w:rsidRPr="007A17AB">
                <w:rPr>
                  <w:rStyle w:val="aa"/>
                  <w:rFonts w:ascii="微软雅黑" w:eastAsia="微软雅黑" w:hAnsi="微软雅黑" w:hint="eastAsia"/>
                  <w:color w:val="333333"/>
                  <w:sz w:val="18"/>
                  <w:szCs w:val="18"/>
                  <w:u w:val="none"/>
                </w:rPr>
                <w:t>91</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665544472"/>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3.58%</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895115912"/>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879854297"/>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6822医用光学器具、仪器及内窥镜设备</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1182625893"/>
              <w:rPr>
                <w:rFonts w:ascii="微软雅黑" w:eastAsia="微软雅黑" w:hAnsi="微软雅黑" w:cs="宋体"/>
                <w:color w:val="000000"/>
                <w:sz w:val="18"/>
                <w:szCs w:val="18"/>
              </w:rPr>
            </w:pPr>
            <w:hyperlink r:id="rId23" w:history="1">
              <w:r w:rsidR="007A17AB" w:rsidRPr="007A17AB">
                <w:rPr>
                  <w:rStyle w:val="aa"/>
                  <w:rFonts w:ascii="微软雅黑" w:eastAsia="微软雅黑" w:hAnsi="微软雅黑" w:hint="eastAsia"/>
                  <w:color w:val="333333"/>
                  <w:sz w:val="18"/>
                  <w:szCs w:val="18"/>
                  <w:u w:val="none"/>
                </w:rPr>
                <w:t>84</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879080827"/>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3.3%</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316110703"/>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432893107"/>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6865医用缝合材料及粘合剂</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70856141"/>
              <w:rPr>
                <w:rFonts w:ascii="微软雅黑" w:eastAsia="微软雅黑" w:hAnsi="微软雅黑" w:cs="宋体"/>
                <w:color w:val="000000"/>
                <w:sz w:val="18"/>
                <w:szCs w:val="18"/>
              </w:rPr>
            </w:pPr>
            <w:hyperlink r:id="rId24" w:history="1">
              <w:r w:rsidR="007A17AB" w:rsidRPr="007A17AB">
                <w:rPr>
                  <w:rStyle w:val="aa"/>
                  <w:rFonts w:ascii="微软雅黑" w:eastAsia="微软雅黑" w:hAnsi="微软雅黑" w:hint="eastAsia"/>
                  <w:color w:val="333333"/>
                  <w:sz w:val="18"/>
                  <w:szCs w:val="18"/>
                  <w:u w:val="none"/>
                </w:rPr>
                <w:t>81</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626399655"/>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3.18%</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54055811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lastRenderedPageBreak/>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69510952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6863口腔科材料</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334186223"/>
              <w:rPr>
                <w:rFonts w:ascii="微软雅黑" w:eastAsia="微软雅黑" w:hAnsi="微软雅黑" w:cs="宋体"/>
                <w:color w:val="000000"/>
                <w:sz w:val="18"/>
                <w:szCs w:val="18"/>
              </w:rPr>
            </w:pPr>
            <w:hyperlink r:id="rId25" w:history="1">
              <w:r w:rsidR="007A17AB" w:rsidRPr="007A17AB">
                <w:rPr>
                  <w:rStyle w:val="aa"/>
                  <w:rFonts w:ascii="微软雅黑" w:eastAsia="微软雅黑" w:hAnsi="微软雅黑" w:hint="eastAsia"/>
                  <w:color w:val="333333"/>
                  <w:sz w:val="18"/>
                  <w:szCs w:val="18"/>
                  <w:u w:val="none"/>
                </w:rPr>
                <w:t>77</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445266349"/>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3.03%</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38966001"/>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13</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2145924928"/>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6856病房护理设备及器具</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746732569"/>
              <w:rPr>
                <w:rFonts w:ascii="微软雅黑" w:eastAsia="微软雅黑" w:hAnsi="微软雅黑" w:cs="宋体"/>
                <w:color w:val="000000"/>
                <w:sz w:val="18"/>
                <w:szCs w:val="18"/>
              </w:rPr>
            </w:pPr>
            <w:hyperlink r:id="rId26" w:history="1">
              <w:r w:rsidR="007A17AB" w:rsidRPr="007A17AB">
                <w:rPr>
                  <w:rStyle w:val="aa"/>
                  <w:rFonts w:ascii="微软雅黑" w:eastAsia="微软雅黑" w:hAnsi="微软雅黑" w:hint="eastAsia"/>
                  <w:color w:val="333333"/>
                  <w:sz w:val="18"/>
                  <w:szCs w:val="18"/>
                  <w:u w:val="none"/>
                </w:rPr>
                <w:t>72</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709494999"/>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2.83%</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968819598"/>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14</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585142094"/>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6810矫形外科（骨科）手术器械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615412302"/>
              <w:rPr>
                <w:rFonts w:ascii="微软雅黑" w:eastAsia="微软雅黑" w:hAnsi="微软雅黑" w:cs="宋体"/>
                <w:color w:val="000000"/>
                <w:sz w:val="18"/>
                <w:szCs w:val="18"/>
              </w:rPr>
            </w:pPr>
            <w:hyperlink r:id="rId27" w:history="1">
              <w:r w:rsidR="007A17AB" w:rsidRPr="007A17AB">
                <w:rPr>
                  <w:rStyle w:val="aa"/>
                  <w:rFonts w:ascii="微软雅黑" w:eastAsia="微软雅黑" w:hAnsi="微软雅黑" w:hint="eastAsia"/>
                  <w:color w:val="333333"/>
                  <w:sz w:val="18"/>
                  <w:szCs w:val="18"/>
                  <w:u w:val="none"/>
                </w:rPr>
                <w:t>71</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270507591"/>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2.79%</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305823458"/>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15</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126193022"/>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6864医用卫生材料及敷料</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232201668"/>
              <w:rPr>
                <w:rFonts w:ascii="微软雅黑" w:eastAsia="微软雅黑" w:hAnsi="微软雅黑" w:cs="宋体"/>
                <w:color w:val="000000"/>
                <w:sz w:val="18"/>
                <w:szCs w:val="18"/>
              </w:rPr>
            </w:pPr>
            <w:hyperlink r:id="rId28" w:history="1">
              <w:r w:rsidR="007A17AB" w:rsidRPr="007A17AB">
                <w:rPr>
                  <w:rStyle w:val="aa"/>
                  <w:rFonts w:ascii="微软雅黑" w:eastAsia="微软雅黑" w:hAnsi="微软雅黑" w:hint="eastAsia"/>
                  <w:color w:val="333333"/>
                  <w:sz w:val="18"/>
                  <w:szCs w:val="18"/>
                  <w:u w:val="none"/>
                </w:rPr>
                <w:t>69</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937908153"/>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2.71%</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296059893"/>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16</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53256902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6820普通诊察器械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547423383"/>
              <w:rPr>
                <w:rFonts w:ascii="微软雅黑" w:eastAsia="微软雅黑" w:hAnsi="微软雅黑" w:cs="宋体"/>
                <w:color w:val="000000"/>
                <w:sz w:val="18"/>
                <w:szCs w:val="18"/>
              </w:rPr>
            </w:pPr>
            <w:hyperlink r:id="rId29" w:history="1">
              <w:r w:rsidR="007A17AB" w:rsidRPr="007A17AB">
                <w:rPr>
                  <w:rStyle w:val="aa"/>
                  <w:rFonts w:ascii="微软雅黑" w:eastAsia="微软雅黑" w:hAnsi="微软雅黑" w:hint="eastAsia"/>
                  <w:color w:val="333333"/>
                  <w:sz w:val="18"/>
                  <w:szCs w:val="18"/>
                  <w:u w:val="none"/>
                </w:rPr>
                <w:t>59</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27637028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2.32%</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572421618"/>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17</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868295381"/>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6854手术室、急救室、诊疗室设备及器具</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1684699776"/>
              <w:rPr>
                <w:rFonts w:ascii="微软雅黑" w:eastAsia="微软雅黑" w:hAnsi="微软雅黑" w:cs="宋体"/>
                <w:color w:val="000000"/>
                <w:sz w:val="18"/>
                <w:szCs w:val="18"/>
              </w:rPr>
            </w:pPr>
            <w:hyperlink r:id="rId30" w:history="1">
              <w:r w:rsidR="007A17AB" w:rsidRPr="007A17AB">
                <w:rPr>
                  <w:rStyle w:val="aa"/>
                  <w:rFonts w:ascii="微软雅黑" w:eastAsia="微软雅黑" w:hAnsi="微软雅黑" w:hint="eastAsia"/>
                  <w:color w:val="333333"/>
                  <w:sz w:val="18"/>
                  <w:szCs w:val="18"/>
                  <w:u w:val="none"/>
                </w:rPr>
                <w:t>55</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626739111"/>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2.16%</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830827518"/>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18</w:t>
            </w:r>
          </w:p>
        </w:tc>
        <w:tc>
          <w:tcPr>
            <w:tcW w:w="4820"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1521702748"/>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6830医用X射线设备</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AF257A" w:rsidP="00DD4CAD">
            <w:pPr>
              <w:spacing w:after="150"/>
              <w:jc w:val="center"/>
              <w:divId w:val="194855894"/>
              <w:rPr>
                <w:rFonts w:ascii="微软雅黑" w:eastAsia="微软雅黑" w:hAnsi="微软雅黑" w:cs="宋体"/>
                <w:color w:val="000000"/>
                <w:sz w:val="18"/>
                <w:szCs w:val="18"/>
              </w:rPr>
            </w:pPr>
            <w:hyperlink r:id="rId31" w:history="1">
              <w:r w:rsidR="007A17AB" w:rsidRPr="007A17AB">
                <w:rPr>
                  <w:rStyle w:val="aa"/>
                  <w:rFonts w:ascii="微软雅黑" w:eastAsia="微软雅黑" w:hAnsi="微软雅黑" w:hint="eastAsia"/>
                  <w:color w:val="333333"/>
                  <w:sz w:val="18"/>
                  <w:szCs w:val="18"/>
                  <w:u w:val="none"/>
                </w:rPr>
                <w:t>55</w:t>
              </w:r>
            </w:hyperlink>
          </w:p>
        </w:tc>
        <w:tc>
          <w:tcPr>
            <w:tcW w:w="1471" w:type="dxa"/>
            <w:tcBorders>
              <w:top w:val="single" w:sz="4" w:space="0" w:color="auto"/>
              <w:left w:val="single" w:sz="4" w:space="0" w:color="auto"/>
              <w:bottom w:val="single" w:sz="4" w:space="0" w:color="auto"/>
              <w:right w:val="single" w:sz="4" w:space="0" w:color="auto"/>
            </w:tcBorders>
            <w:vAlign w:val="center"/>
            <w:hideMark/>
          </w:tcPr>
          <w:p w:rsidR="007A17AB" w:rsidRPr="007A17AB" w:rsidRDefault="007A17AB" w:rsidP="00DD4CAD">
            <w:pPr>
              <w:spacing w:after="150"/>
              <w:jc w:val="center"/>
              <w:divId w:val="3167231"/>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2.16%</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14638228"/>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19</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202428153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6825医用高频仪器设备</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1843350664"/>
              <w:rPr>
                <w:rFonts w:ascii="微软雅黑" w:eastAsia="微软雅黑" w:hAnsi="微软雅黑" w:cs="宋体"/>
                <w:color w:val="000000"/>
                <w:sz w:val="18"/>
                <w:szCs w:val="18"/>
              </w:rPr>
            </w:pPr>
            <w:hyperlink r:id="rId32" w:history="1">
              <w:r w:rsidR="007A17AB" w:rsidRPr="007A17AB">
                <w:rPr>
                  <w:rStyle w:val="aa"/>
                  <w:rFonts w:ascii="微软雅黑" w:eastAsia="微软雅黑" w:hAnsi="微软雅黑" w:hint="eastAsia"/>
                  <w:color w:val="333333"/>
                  <w:sz w:val="18"/>
                  <w:szCs w:val="18"/>
                  <w:u w:val="none"/>
                </w:rPr>
                <w:t>54</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793402607"/>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2.12%</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854221707"/>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20</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339696658"/>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6841医用化验和基础设备器具</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453209876"/>
              <w:rPr>
                <w:rFonts w:ascii="微软雅黑" w:eastAsia="微软雅黑" w:hAnsi="微软雅黑" w:cs="宋体"/>
                <w:color w:val="000000"/>
                <w:sz w:val="18"/>
                <w:szCs w:val="18"/>
              </w:rPr>
            </w:pPr>
            <w:hyperlink r:id="rId33" w:history="1">
              <w:r w:rsidR="007A17AB" w:rsidRPr="007A17AB">
                <w:rPr>
                  <w:rStyle w:val="aa"/>
                  <w:rFonts w:ascii="微软雅黑" w:eastAsia="微软雅黑" w:hAnsi="微软雅黑" w:hint="eastAsia"/>
                  <w:color w:val="333333"/>
                  <w:sz w:val="18"/>
                  <w:szCs w:val="18"/>
                  <w:u w:val="none"/>
                </w:rPr>
                <w:t>35</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835992287"/>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1.38%</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559632417"/>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21</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720398698"/>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6823医用超声仪器及有关设备</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176818099"/>
              <w:rPr>
                <w:rFonts w:ascii="微软雅黑" w:eastAsia="微软雅黑" w:hAnsi="微软雅黑" w:cs="宋体"/>
                <w:color w:val="000000"/>
                <w:sz w:val="18"/>
                <w:szCs w:val="18"/>
              </w:rPr>
            </w:pPr>
            <w:hyperlink r:id="rId34" w:history="1">
              <w:r w:rsidR="007A17AB" w:rsidRPr="007A17AB">
                <w:rPr>
                  <w:rStyle w:val="aa"/>
                  <w:rFonts w:ascii="微软雅黑" w:eastAsia="微软雅黑" w:hAnsi="微软雅黑" w:hint="eastAsia"/>
                  <w:color w:val="333333"/>
                  <w:sz w:val="18"/>
                  <w:szCs w:val="18"/>
                  <w:u w:val="none"/>
                </w:rPr>
                <w:t>19</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922568173"/>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0.75%</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2111585207"/>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22</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2030183214"/>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6828医用磁共振设备</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1024482641"/>
              <w:rPr>
                <w:rFonts w:ascii="微软雅黑" w:eastAsia="微软雅黑" w:hAnsi="微软雅黑" w:cs="宋体"/>
                <w:color w:val="000000"/>
                <w:sz w:val="18"/>
                <w:szCs w:val="18"/>
              </w:rPr>
            </w:pPr>
            <w:hyperlink r:id="rId35" w:history="1">
              <w:r w:rsidR="007A17AB" w:rsidRPr="007A17AB">
                <w:rPr>
                  <w:rStyle w:val="aa"/>
                  <w:rFonts w:ascii="微软雅黑" w:eastAsia="微软雅黑" w:hAnsi="微软雅黑" w:hint="eastAsia"/>
                  <w:color w:val="333333"/>
                  <w:sz w:val="18"/>
                  <w:szCs w:val="18"/>
                  <w:u w:val="none"/>
                </w:rPr>
                <w:t>19</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2123258781"/>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0.75%</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657923742"/>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23</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783696240"/>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6827中医器械</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2043627336"/>
              <w:rPr>
                <w:rFonts w:ascii="微软雅黑" w:eastAsia="微软雅黑" w:hAnsi="微软雅黑" w:cs="宋体"/>
                <w:color w:val="000000"/>
                <w:sz w:val="18"/>
                <w:szCs w:val="18"/>
              </w:rPr>
            </w:pPr>
            <w:hyperlink r:id="rId36" w:history="1">
              <w:r w:rsidR="007A17AB" w:rsidRPr="007A17AB">
                <w:rPr>
                  <w:rStyle w:val="aa"/>
                  <w:rFonts w:ascii="微软雅黑" w:eastAsia="微软雅黑" w:hAnsi="微软雅黑" w:hint="eastAsia"/>
                  <w:color w:val="333333"/>
                  <w:sz w:val="18"/>
                  <w:szCs w:val="18"/>
                  <w:u w:val="none"/>
                </w:rPr>
                <w:t>19</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665667821"/>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0.75%</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31953259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24</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418526135"/>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6855口腔科设备及器具</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252857007"/>
              <w:rPr>
                <w:rFonts w:ascii="微软雅黑" w:eastAsia="微软雅黑" w:hAnsi="微软雅黑" w:cs="宋体"/>
                <w:color w:val="000000"/>
                <w:sz w:val="18"/>
                <w:szCs w:val="18"/>
              </w:rPr>
            </w:pPr>
            <w:hyperlink r:id="rId37" w:history="1">
              <w:r w:rsidR="007A17AB" w:rsidRPr="007A17AB">
                <w:rPr>
                  <w:rStyle w:val="aa"/>
                  <w:rFonts w:ascii="微软雅黑" w:eastAsia="微软雅黑" w:hAnsi="微软雅黑" w:hint="eastAsia"/>
                  <w:color w:val="333333"/>
                  <w:sz w:val="18"/>
                  <w:szCs w:val="18"/>
                  <w:u w:val="none"/>
                </w:rPr>
                <w:t>13</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656692441"/>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0.51%</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573930424"/>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25</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704136582"/>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6801基础外科手术器械</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340475665"/>
              <w:rPr>
                <w:rFonts w:ascii="微软雅黑" w:eastAsia="微软雅黑" w:hAnsi="微软雅黑" w:cs="宋体"/>
                <w:color w:val="000000"/>
                <w:sz w:val="18"/>
                <w:szCs w:val="18"/>
              </w:rPr>
            </w:pPr>
            <w:hyperlink r:id="rId38" w:history="1">
              <w:r w:rsidR="007A17AB" w:rsidRPr="007A17AB">
                <w:rPr>
                  <w:rStyle w:val="aa"/>
                  <w:rFonts w:ascii="微软雅黑" w:eastAsia="微软雅黑" w:hAnsi="微软雅黑" w:hint="eastAsia"/>
                  <w:color w:val="333333"/>
                  <w:sz w:val="18"/>
                  <w:szCs w:val="18"/>
                  <w:u w:val="none"/>
                </w:rPr>
                <w:t>8</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40850071"/>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0.31%</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030255858"/>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26</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512688568"/>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6806口腔科手术器械</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1824926024"/>
              <w:rPr>
                <w:rFonts w:ascii="微软雅黑" w:eastAsia="微软雅黑" w:hAnsi="微软雅黑" w:cs="宋体"/>
                <w:color w:val="000000"/>
                <w:sz w:val="18"/>
                <w:szCs w:val="18"/>
              </w:rPr>
            </w:pPr>
            <w:hyperlink r:id="rId39" w:history="1">
              <w:r w:rsidR="007A17AB" w:rsidRPr="007A17AB">
                <w:rPr>
                  <w:rStyle w:val="aa"/>
                  <w:rFonts w:ascii="微软雅黑" w:eastAsia="微软雅黑" w:hAnsi="微软雅黑" w:hint="eastAsia"/>
                  <w:color w:val="333333"/>
                  <w:sz w:val="18"/>
                  <w:szCs w:val="18"/>
                  <w:u w:val="none"/>
                </w:rPr>
                <w:t>7</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029138047"/>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0.28%</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77621634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27</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188300062"/>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6824医用激光仪器设备</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1383752338"/>
              <w:rPr>
                <w:rFonts w:ascii="微软雅黑" w:eastAsia="微软雅黑" w:hAnsi="微软雅黑" w:cs="宋体"/>
                <w:color w:val="000000"/>
                <w:sz w:val="18"/>
                <w:szCs w:val="18"/>
              </w:rPr>
            </w:pPr>
            <w:hyperlink r:id="rId40" w:history="1">
              <w:r w:rsidR="007A17AB" w:rsidRPr="007A17AB">
                <w:rPr>
                  <w:rStyle w:val="aa"/>
                  <w:rFonts w:ascii="微软雅黑" w:eastAsia="微软雅黑" w:hAnsi="微软雅黑" w:hint="eastAsia"/>
                  <w:color w:val="333333"/>
                  <w:sz w:val="18"/>
                  <w:szCs w:val="18"/>
                  <w:u w:val="none"/>
                </w:rPr>
                <w:t>6</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26122659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0.24%</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83769232"/>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28</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409741970"/>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6858医用冷疗、低温、冷藏设备及器具</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1207644760"/>
              <w:rPr>
                <w:rFonts w:ascii="微软雅黑" w:eastAsia="微软雅黑" w:hAnsi="微软雅黑" w:cs="宋体"/>
                <w:color w:val="000000"/>
                <w:sz w:val="18"/>
                <w:szCs w:val="18"/>
              </w:rPr>
            </w:pPr>
            <w:hyperlink r:id="rId41" w:history="1">
              <w:r w:rsidR="007A17AB" w:rsidRPr="007A17AB">
                <w:rPr>
                  <w:rStyle w:val="aa"/>
                  <w:rFonts w:ascii="微软雅黑" w:eastAsia="微软雅黑" w:hAnsi="微软雅黑" w:hint="eastAsia"/>
                  <w:color w:val="333333"/>
                  <w:sz w:val="18"/>
                  <w:szCs w:val="18"/>
                  <w:u w:val="none"/>
                </w:rPr>
                <w:t>6</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205855313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0.24%</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108281010"/>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29</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598293679"/>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6857消毒和灭菌设备及器具</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1799955356"/>
              <w:rPr>
                <w:rFonts w:ascii="微软雅黑" w:eastAsia="微软雅黑" w:hAnsi="微软雅黑" w:cs="宋体"/>
                <w:color w:val="000000"/>
                <w:sz w:val="18"/>
                <w:szCs w:val="18"/>
              </w:rPr>
            </w:pPr>
            <w:hyperlink r:id="rId42" w:history="1">
              <w:r w:rsidR="007A17AB" w:rsidRPr="007A17AB">
                <w:rPr>
                  <w:rStyle w:val="aa"/>
                  <w:rFonts w:ascii="微软雅黑" w:eastAsia="微软雅黑" w:hAnsi="微软雅黑" w:hint="eastAsia"/>
                  <w:color w:val="333333"/>
                  <w:sz w:val="18"/>
                  <w:szCs w:val="18"/>
                  <w:u w:val="none"/>
                </w:rPr>
                <w:t>4</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605577518"/>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0.16%</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904946770"/>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30</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216236395"/>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6809泌尿肛肠外科手术器械</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1539463268"/>
              <w:rPr>
                <w:rFonts w:ascii="微软雅黑" w:eastAsia="微软雅黑" w:hAnsi="微软雅黑" w:cs="宋体"/>
                <w:color w:val="000000"/>
                <w:sz w:val="18"/>
                <w:szCs w:val="18"/>
              </w:rPr>
            </w:pPr>
            <w:hyperlink r:id="rId43" w:history="1">
              <w:r w:rsidR="007A17AB" w:rsidRPr="007A17AB">
                <w:rPr>
                  <w:rStyle w:val="aa"/>
                  <w:rFonts w:ascii="微软雅黑" w:eastAsia="微软雅黑" w:hAnsi="微软雅黑" w:hint="eastAsia"/>
                  <w:color w:val="333333"/>
                  <w:sz w:val="18"/>
                  <w:szCs w:val="18"/>
                  <w:u w:val="none"/>
                </w:rPr>
                <w:t>3</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634289232"/>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0.12%</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856692535"/>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31</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736780489"/>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6804眼科手术器械</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841896381"/>
              <w:rPr>
                <w:rFonts w:ascii="微软雅黑" w:eastAsia="微软雅黑" w:hAnsi="微软雅黑" w:cs="宋体"/>
                <w:color w:val="000000"/>
                <w:sz w:val="18"/>
                <w:szCs w:val="18"/>
              </w:rPr>
            </w:pPr>
            <w:hyperlink r:id="rId44" w:history="1">
              <w:r w:rsidR="007A17AB" w:rsidRPr="007A17AB">
                <w:rPr>
                  <w:rStyle w:val="aa"/>
                  <w:rFonts w:ascii="微软雅黑" w:eastAsia="微软雅黑" w:hAnsi="微软雅黑" w:hint="eastAsia"/>
                  <w:color w:val="333333"/>
                  <w:sz w:val="18"/>
                  <w:szCs w:val="18"/>
                  <w:u w:val="none"/>
                </w:rPr>
                <w:t>2</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583754017"/>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0.08%</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521670392"/>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32</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591893653"/>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6808腹部外科手术器械</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584803518"/>
              <w:rPr>
                <w:rFonts w:ascii="微软雅黑" w:eastAsia="微软雅黑" w:hAnsi="微软雅黑" w:cs="宋体"/>
                <w:color w:val="000000"/>
                <w:sz w:val="18"/>
                <w:szCs w:val="18"/>
              </w:rPr>
            </w:pPr>
            <w:hyperlink r:id="rId45" w:history="1">
              <w:r w:rsidR="007A17AB" w:rsidRPr="007A17AB">
                <w:rPr>
                  <w:rStyle w:val="aa"/>
                  <w:rFonts w:ascii="微软雅黑" w:eastAsia="微软雅黑" w:hAnsi="微软雅黑" w:hint="eastAsia"/>
                  <w:color w:val="333333"/>
                  <w:sz w:val="18"/>
                  <w:szCs w:val="18"/>
                  <w:u w:val="none"/>
                </w:rPr>
                <w:t>2</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31420780"/>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0.08%</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701662813"/>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33</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529532027"/>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6816烧伤(整形)科手术器械</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1606494381"/>
              <w:rPr>
                <w:rFonts w:ascii="微软雅黑" w:eastAsia="微软雅黑" w:hAnsi="微软雅黑" w:cs="宋体"/>
                <w:color w:val="000000"/>
                <w:sz w:val="18"/>
                <w:szCs w:val="18"/>
              </w:rPr>
            </w:pPr>
            <w:hyperlink r:id="rId46" w:history="1">
              <w:r w:rsidR="007A17AB" w:rsidRPr="007A17AB">
                <w:rPr>
                  <w:rStyle w:val="aa"/>
                  <w:rFonts w:ascii="微软雅黑" w:eastAsia="微软雅黑" w:hAnsi="微软雅黑" w:hint="eastAsia"/>
                  <w:color w:val="333333"/>
                  <w:sz w:val="18"/>
                  <w:szCs w:val="18"/>
                  <w:u w:val="none"/>
                </w:rPr>
                <w:t>1</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8895767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0.04%</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548105470"/>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34</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88155547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6832医用高能射线设备</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933825177"/>
              <w:rPr>
                <w:rFonts w:ascii="微软雅黑" w:eastAsia="微软雅黑" w:hAnsi="微软雅黑" w:cs="宋体"/>
                <w:color w:val="000000"/>
                <w:sz w:val="18"/>
                <w:szCs w:val="18"/>
              </w:rPr>
            </w:pPr>
            <w:hyperlink r:id="rId47" w:history="1">
              <w:r w:rsidR="007A17AB" w:rsidRPr="007A17AB">
                <w:rPr>
                  <w:rStyle w:val="aa"/>
                  <w:rFonts w:ascii="微软雅黑" w:eastAsia="微软雅黑" w:hAnsi="微软雅黑" w:hint="eastAsia"/>
                  <w:color w:val="333333"/>
                  <w:sz w:val="18"/>
                  <w:szCs w:val="18"/>
                  <w:u w:val="none"/>
                </w:rPr>
                <w:t>1</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448428126"/>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0.04%</w:t>
            </w:r>
          </w:p>
        </w:tc>
      </w:tr>
      <w:tr w:rsidR="007A17AB" w:rsidRPr="00FC6BB1" w:rsidTr="00DD4CAD">
        <w:trPr>
          <w:trHeight w:val="270"/>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525554628"/>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35</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863519709"/>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6812妇产科用手术器械</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1621762433"/>
              <w:rPr>
                <w:rFonts w:ascii="微软雅黑" w:eastAsia="微软雅黑" w:hAnsi="微软雅黑" w:cs="宋体"/>
                <w:color w:val="000000"/>
                <w:sz w:val="18"/>
                <w:szCs w:val="18"/>
              </w:rPr>
            </w:pPr>
            <w:hyperlink r:id="rId48" w:history="1">
              <w:r w:rsidR="007A17AB" w:rsidRPr="007A17AB">
                <w:rPr>
                  <w:rStyle w:val="aa"/>
                  <w:rFonts w:ascii="微软雅黑" w:eastAsia="微软雅黑" w:hAnsi="微软雅黑" w:hint="eastAsia"/>
                  <w:color w:val="333333"/>
                  <w:sz w:val="18"/>
                  <w:szCs w:val="18"/>
                  <w:u w:val="none"/>
                </w:rPr>
                <w:t>1</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991205129"/>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0.04%</w:t>
            </w:r>
          </w:p>
        </w:tc>
      </w:tr>
      <w:tr w:rsidR="007A17AB" w:rsidRPr="00FC6BB1" w:rsidTr="00DD4CAD">
        <w:trPr>
          <w:trHeight w:val="315"/>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705525430"/>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36</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341814070"/>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6831医用X射线附属设备及部件</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1336879756"/>
              <w:rPr>
                <w:rFonts w:ascii="微软雅黑" w:eastAsia="微软雅黑" w:hAnsi="微软雅黑" w:cs="宋体"/>
                <w:color w:val="000000"/>
                <w:sz w:val="18"/>
                <w:szCs w:val="18"/>
              </w:rPr>
            </w:pPr>
            <w:hyperlink r:id="rId49" w:history="1">
              <w:r w:rsidR="007A17AB" w:rsidRPr="007A17AB">
                <w:rPr>
                  <w:rStyle w:val="aa"/>
                  <w:rFonts w:ascii="微软雅黑" w:eastAsia="微软雅黑" w:hAnsi="微软雅黑" w:hint="eastAsia"/>
                  <w:color w:val="333333"/>
                  <w:sz w:val="18"/>
                  <w:szCs w:val="18"/>
                  <w:u w:val="none"/>
                </w:rPr>
                <w:t>1</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203446611"/>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0.04%</w:t>
            </w:r>
          </w:p>
        </w:tc>
      </w:tr>
      <w:tr w:rsidR="007A17AB" w:rsidRPr="00FC6BB1" w:rsidTr="00DD4CAD">
        <w:trPr>
          <w:trHeight w:val="209"/>
          <w:jc w:val="center"/>
        </w:trPr>
        <w:tc>
          <w:tcPr>
            <w:tcW w:w="679"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673533815"/>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lastRenderedPageBreak/>
              <w:t>37</w:t>
            </w:r>
          </w:p>
        </w:tc>
        <w:tc>
          <w:tcPr>
            <w:tcW w:w="4820"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668564484"/>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6833医用核素设备</w:t>
            </w:r>
          </w:p>
        </w:tc>
        <w:tc>
          <w:tcPr>
            <w:tcW w:w="1275" w:type="dxa"/>
            <w:tcBorders>
              <w:top w:val="single" w:sz="4" w:space="0" w:color="auto"/>
              <w:left w:val="single" w:sz="4" w:space="0" w:color="auto"/>
              <w:bottom w:val="single" w:sz="4" w:space="0" w:color="auto"/>
              <w:right w:val="single" w:sz="4" w:space="0" w:color="auto"/>
            </w:tcBorders>
            <w:vAlign w:val="center"/>
          </w:tcPr>
          <w:p w:rsidR="007A17AB" w:rsidRPr="007A17AB" w:rsidRDefault="00AF257A" w:rsidP="00DD4CAD">
            <w:pPr>
              <w:spacing w:after="150"/>
              <w:jc w:val="center"/>
              <w:divId w:val="1300187794"/>
              <w:rPr>
                <w:rFonts w:ascii="微软雅黑" w:eastAsia="微软雅黑" w:hAnsi="微软雅黑" w:cs="宋体"/>
                <w:color w:val="000000"/>
                <w:sz w:val="18"/>
                <w:szCs w:val="18"/>
              </w:rPr>
            </w:pPr>
            <w:hyperlink r:id="rId50" w:history="1">
              <w:r w:rsidR="007A17AB" w:rsidRPr="007A17AB">
                <w:rPr>
                  <w:rStyle w:val="aa"/>
                  <w:rFonts w:ascii="微软雅黑" w:eastAsia="微软雅黑" w:hAnsi="微软雅黑" w:hint="eastAsia"/>
                  <w:color w:val="333333"/>
                  <w:sz w:val="18"/>
                  <w:szCs w:val="18"/>
                  <w:u w:val="none"/>
                </w:rPr>
                <w:t>1</w:t>
              </w:r>
            </w:hyperlink>
          </w:p>
        </w:tc>
        <w:tc>
          <w:tcPr>
            <w:tcW w:w="1471" w:type="dxa"/>
            <w:tcBorders>
              <w:top w:val="single" w:sz="4" w:space="0" w:color="auto"/>
              <w:left w:val="single" w:sz="4" w:space="0" w:color="auto"/>
              <w:bottom w:val="single" w:sz="4" w:space="0" w:color="auto"/>
              <w:right w:val="single" w:sz="4" w:space="0" w:color="auto"/>
            </w:tcBorders>
            <w:vAlign w:val="center"/>
          </w:tcPr>
          <w:p w:rsidR="007A17AB" w:rsidRPr="007A17AB" w:rsidRDefault="007A17AB" w:rsidP="00DD4CAD">
            <w:pPr>
              <w:spacing w:after="150"/>
              <w:jc w:val="center"/>
              <w:divId w:val="1733384354"/>
              <w:rPr>
                <w:rFonts w:ascii="微软雅黑" w:eastAsia="微软雅黑" w:hAnsi="微软雅黑" w:cs="宋体"/>
                <w:color w:val="000000"/>
                <w:sz w:val="18"/>
                <w:szCs w:val="18"/>
              </w:rPr>
            </w:pPr>
            <w:r w:rsidRPr="007A17AB">
              <w:rPr>
                <w:rFonts w:ascii="微软雅黑" w:eastAsia="微软雅黑" w:hAnsi="微软雅黑" w:hint="eastAsia"/>
                <w:color w:val="000000"/>
                <w:sz w:val="18"/>
                <w:szCs w:val="18"/>
              </w:rPr>
              <w:t>0.04%</w:t>
            </w:r>
          </w:p>
        </w:tc>
      </w:tr>
      <w:tr w:rsidR="00D95D5D" w:rsidRPr="00FC6BB1" w:rsidTr="00FC6BB1">
        <w:trPr>
          <w:trHeight w:val="237"/>
          <w:jc w:val="center"/>
        </w:trPr>
        <w:tc>
          <w:tcPr>
            <w:tcW w:w="5499" w:type="dxa"/>
            <w:gridSpan w:val="2"/>
            <w:tcBorders>
              <w:top w:val="single" w:sz="4" w:space="0" w:color="auto"/>
              <w:left w:val="single" w:sz="4" w:space="0" w:color="auto"/>
              <w:bottom w:val="single" w:sz="4" w:space="0" w:color="auto"/>
              <w:right w:val="single" w:sz="4" w:space="0" w:color="auto"/>
            </w:tcBorders>
            <w:vAlign w:val="center"/>
          </w:tcPr>
          <w:p w:rsidR="00D95D5D" w:rsidRPr="00FC6BB1" w:rsidRDefault="00D95D5D" w:rsidP="00FC6BB1">
            <w:pPr>
              <w:spacing w:line="276" w:lineRule="auto"/>
              <w:jc w:val="center"/>
              <w:rPr>
                <w:rFonts w:ascii="Times New Roman" w:eastAsia="宋体" w:hAnsi="Times New Roman" w:cs="Times New Roman"/>
                <w:sz w:val="20"/>
                <w:szCs w:val="20"/>
              </w:rPr>
            </w:pPr>
            <w:r w:rsidRPr="00FC6BB1">
              <w:rPr>
                <w:rFonts w:ascii="Times New Roman" w:eastAsia="宋体" w:hAnsi="宋体" w:cs="Times New Roman"/>
                <w:sz w:val="20"/>
                <w:szCs w:val="20"/>
              </w:rPr>
              <w:t>合计</w:t>
            </w:r>
          </w:p>
        </w:tc>
        <w:tc>
          <w:tcPr>
            <w:tcW w:w="1275" w:type="dxa"/>
            <w:tcBorders>
              <w:top w:val="single" w:sz="4" w:space="0" w:color="auto"/>
              <w:left w:val="single" w:sz="4" w:space="0" w:color="auto"/>
              <w:bottom w:val="single" w:sz="4" w:space="0" w:color="auto"/>
              <w:right w:val="single" w:sz="4" w:space="0" w:color="auto"/>
            </w:tcBorders>
            <w:vAlign w:val="center"/>
          </w:tcPr>
          <w:p w:rsidR="00D95D5D" w:rsidRPr="00FC6BB1" w:rsidRDefault="00AF257A" w:rsidP="00FC6BB1">
            <w:pPr>
              <w:spacing w:line="276" w:lineRule="auto"/>
              <w:jc w:val="center"/>
              <w:rPr>
                <w:rFonts w:ascii="Times New Roman" w:hAnsi="Times New Roman" w:cs="Times New Roman"/>
                <w:sz w:val="20"/>
                <w:szCs w:val="20"/>
              </w:rPr>
            </w:pPr>
            <w:r w:rsidRPr="00FC6BB1">
              <w:rPr>
                <w:rFonts w:ascii="Times New Roman" w:hAnsi="Times New Roman" w:cs="Times New Roman"/>
                <w:sz w:val="20"/>
                <w:szCs w:val="20"/>
              </w:rPr>
              <w:fldChar w:fldCharType="begin"/>
            </w:r>
            <w:r w:rsidR="00C941AC" w:rsidRPr="00FC6BB1">
              <w:rPr>
                <w:rFonts w:ascii="Times New Roman" w:hAnsi="Times New Roman" w:cs="Times New Roman"/>
                <w:sz w:val="20"/>
                <w:szCs w:val="20"/>
              </w:rPr>
              <w:instrText xml:space="preserve"> =SUM(ABOVE) </w:instrText>
            </w:r>
            <w:r w:rsidRPr="00FC6BB1">
              <w:rPr>
                <w:rFonts w:ascii="Times New Roman" w:hAnsi="Times New Roman" w:cs="Times New Roman"/>
                <w:sz w:val="20"/>
                <w:szCs w:val="20"/>
              </w:rPr>
              <w:fldChar w:fldCharType="separate"/>
            </w:r>
            <w:r w:rsidR="00A36B80">
              <w:rPr>
                <w:rFonts w:ascii="Times New Roman" w:hAnsi="Times New Roman" w:cs="Times New Roman"/>
                <w:noProof/>
                <w:sz w:val="20"/>
                <w:szCs w:val="20"/>
              </w:rPr>
              <w:t>2544</w:t>
            </w:r>
            <w:r w:rsidRPr="00FC6BB1">
              <w:rPr>
                <w:rFonts w:ascii="Times New Roman" w:hAnsi="Times New Roman" w:cs="Times New Roman"/>
                <w:sz w:val="20"/>
                <w:szCs w:val="20"/>
              </w:rPr>
              <w:fldChar w:fldCharType="end"/>
            </w:r>
          </w:p>
        </w:tc>
        <w:tc>
          <w:tcPr>
            <w:tcW w:w="1471" w:type="dxa"/>
            <w:tcBorders>
              <w:top w:val="single" w:sz="4" w:space="0" w:color="auto"/>
              <w:left w:val="single" w:sz="4" w:space="0" w:color="auto"/>
              <w:bottom w:val="single" w:sz="4" w:space="0" w:color="auto"/>
              <w:right w:val="single" w:sz="4" w:space="0" w:color="auto"/>
            </w:tcBorders>
            <w:vAlign w:val="center"/>
          </w:tcPr>
          <w:p w:rsidR="00D95D5D" w:rsidRPr="00FC6BB1" w:rsidRDefault="00D95D5D" w:rsidP="00FC6BB1">
            <w:pPr>
              <w:spacing w:line="276" w:lineRule="auto"/>
              <w:jc w:val="center"/>
              <w:rPr>
                <w:rFonts w:ascii="Times New Roman" w:hAnsi="Times New Roman" w:cs="Times New Roman"/>
                <w:sz w:val="20"/>
                <w:szCs w:val="20"/>
              </w:rPr>
            </w:pPr>
            <w:r w:rsidRPr="00FC6BB1">
              <w:rPr>
                <w:rFonts w:ascii="Times New Roman" w:hAnsi="Times New Roman" w:cs="Times New Roman"/>
                <w:sz w:val="20"/>
                <w:szCs w:val="20"/>
              </w:rPr>
              <w:t>100%</w:t>
            </w:r>
          </w:p>
        </w:tc>
      </w:tr>
    </w:tbl>
    <w:p w:rsidR="003A5A96" w:rsidRPr="00FC6BB1" w:rsidRDefault="003A5A96" w:rsidP="00FC6BB1">
      <w:pPr>
        <w:widowControl/>
        <w:shd w:val="clear" w:color="auto" w:fill="FFFFFF"/>
        <w:tabs>
          <w:tab w:val="left" w:pos="7140"/>
        </w:tabs>
        <w:spacing w:line="276" w:lineRule="auto"/>
        <w:ind w:firstLineChars="202" w:firstLine="424"/>
        <w:jc w:val="left"/>
        <w:rPr>
          <w:rFonts w:ascii="Times New Roman" w:eastAsia="微软雅黑" w:hAnsi="Times New Roman" w:cs="Times New Roman"/>
          <w:b/>
          <w:bCs/>
          <w:kern w:val="0"/>
          <w:szCs w:val="21"/>
        </w:rPr>
      </w:pPr>
    </w:p>
    <w:p w:rsidR="003A5A96" w:rsidRPr="00FC6BB1" w:rsidRDefault="00A36B80" w:rsidP="00FC6BB1">
      <w:pPr>
        <w:widowControl/>
        <w:shd w:val="clear" w:color="auto" w:fill="FFFFFF"/>
        <w:spacing w:line="276" w:lineRule="auto"/>
        <w:ind w:firstLineChars="202" w:firstLine="424"/>
        <w:jc w:val="left"/>
        <w:outlineLvl w:val="0"/>
        <w:rPr>
          <w:rFonts w:ascii="Times New Roman" w:eastAsia="微软雅黑" w:hAnsi="Times New Roman" w:cs="Times New Roman"/>
          <w:kern w:val="0"/>
          <w:szCs w:val="21"/>
        </w:rPr>
      </w:pPr>
      <w:r>
        <w:rPr>
          <w:rFonts w:ascii="Times New Roman" w:eastAsia="微软雅黑" w:hAnsi="微软雅黑" w:cs="Times New Roman" w:hint="eastAsia"/>
          <w:b/>
          <w:bCs/>
          <w:kern w:val="0"/>
          <w:szCs w:val="21"/>
        </w:rPr>
        <w:t>7.</w:t>
      </w:r>
      <w:r w:rsidR="003A5A96" w:rsidRPr="00FC6BB1">
        <w:rPr>
          <w:rFonts w:ascii="Times New Roman" w:eastAsia="微软雅黑" w:hAnsi="微软雅黑" w:cs="Times New Roman"/>
          <w:b/>
          <w:bCs/>
          <w:kern w:val="0"/>
          <w:szCs w:val="21"/>
        </w:rPr>
        <w:t>涉及医疗器械产品使用场所分析</w:t>
      </w:r>
      <w:r w:rsidR="003A5A96" w:rsidRPr="00FC6BB1">
        <w:rPr>
          <w:rFonts w:ascii="Times New Roman" w:eastAsia="微软雅黑" w:hAnsi="Times New Roman" w:cs="Times New Roman"/>
          <w:b/>
          <w:bCs/>
          <w:kern w:val="0"/>
          <w:szCs w:val="21"/>
        </w:rPr>
        <w:tab/>
      </w:r>
    </w:p>
    <w:p w:rsidR="00603527" w:rsidRPr="00B7426D" w:rsidRDefault="00FC6BB1" w:rsidP="00B7426D">
      <w:pPr>
        <w:spacing w:line="276" w:lineRule="auto"/>
        <w:ind w:firstLineChars="202" w:firstLine="424"/>
        <w:rPr>
          <w:rFonts w:ascii="Times New Roman" w:hAnsi="Times New Roman" w:cs="Times New Roman"/>
          <w:kern w:val="0"/>
        </w:rPr>
      </w:pPr>
      <w:r w:rsidRPr="00B7426D">
        <w:rPr>
          <w:rFonts w:ascii="Times New Roman" w:hAnsi="Times New Roman" w:cs="Times New Roman"/>
          <w:kern w:val="0"/>
        </w:rPr>
        <w:t>2018</w:t>
      </w:r>
      <w:r w:rsidR="00BA55C3" w:rsidRPr="00B7426D">
        <w:rPr>
          <w:rFonts w:ascii="Times New Roman" w:hAnsiTheme="minorEastAsia" w:cs="Times New Roman"/>
          <w:kern w:val="0"/>
        </w:rPr>
        <w:t>年第</w:t>
      </w:r>
      <w:r w:rsidR="00BA55C3" w:rsidRPr="00B7426D">
        <w:rPr>
          <w:rFonts w:ascii="Times New Roman" w:hAnsiTheme="minorEastAsia" w:cs="Times New Roman" w:hint="eastAsia"/>
          <w:kern w:val="0"/>
        </w:rPr>
        <w:t>三</w:t>
      </w:r>
      <w:r w:rsidRPr="00B7426D">
        <w:rPr>
          <w:rFonts w:ascii="Times New Roman" w:hAnsiTheme="minorEastAsia" w:cs="Times New Roman"/>
          <w:kern w:val="0"/>
        </w:rPr>
        <w:t>季度，本市可疑医疗器械不良事件报告中涉及的医疗器械主要在医疗机构中使用，共收到</w:t>
      </w:r>
      <w:r w:rsidR="00B7426D" w:rsidRPr="00B7426D">
        <w:rPr>
          <w:rFonts w:ascii="Times New Roman" w:hAnsi="Times New Roman" w:cs="Times New Roman" w:hint="eastAsia"/>
          <w:kern w:val="0"/>
        </w:rPr>
        <w:t>2192</w:t>
      </w:r>
      <w:r w:rsidRPr="00B7426D">
        <w:rPr>
          <w:rFonts w:ascii="Times New Roman" w:hAnsiTheme="minorEastAsia" w:cs="Times New Roman"/>
          <w:kern w:val="0"/>
        </w:rPr>
        <w:t>份报告，占报告总数的</w:t>
      </w:r>
      <w:r w:rsidRPr="00B7426D">
        <w:rPr>
          <w:rFonts w:ascii="Times New Roman" w:hAnsi="Times New Roman" w:cs="Times New Roman"/>
          <w:kern w:val="0"/>
        </w:rPr>
        <w:t>8</w:t>
      </w:r>
      <w:r w:rsidR="00B7426D" w:rsidRPr="00B7426D">
        <w:rPr>
          <w:rFonts w:ascii="Times New Roman" w:hAnsi="Times New Roman" w:cs="Times New Roman" w:hint="eastAsia"/>
          <w:kern w:val="0"/>
        </w:rPr>
        <w:t>6.16</w:t>
      </w:r>
      <w:r w:rsidRPr="00B7426D">
        <w:rPr>
          <w:rFonts w:ascii="Times New Roman" w:hAnsi="Times New Roman" w:cs="Times New Roman"/>
          <w:kern w:val="0"/>
        </w:rPr>
        <w:t>%</w:t>
      </w:r>
      <w:r w:rsidRPr="00B7426D">
        <w:rPr>
          <w:rFonts w:ascii="Times New Roman" w:hAnsiTheme="minorEastAsia" w:cs="Times New Roman"/>
          <w:kern w:val="0"/>
        </w:rPr>
        <w:t>。</w:t>
      </w:r>
      <w:r w:rsidR="00B7426D" w:rsidRPr="00B7426D">
        <w:rPr>
          <w:rFonts w:ascii="Times New Roman" w:hAnsi="Times New Roman" w:cs="Times New Roman" w:hint="eastAsia"/>
          <w:kern w:val="0"/>
        </w:rPr>
        <w:t>295</w:t>
      </w:r>
      <w:r w:rsidRPr="00B7426D">
        <w:rPr>
          <w:rFonts w:ascii="Times New Roman" w:hAnsiTheme="minorEastAsia" w:cs="Times New Roman"/>
          <w:kern w:val="0"/>
        </w:rPr>
        <w:t>例在家庭中使用的主要为红外耳式体温计、鸡眼处理工具盒、定制式义齿、软性亲水接触镜、万通筋骨贴、轮椅车、电子血压计等，占报告总数的</w:t>
      </w:r>
      <w:r w:rsidRPr="00B7426D">
        <w:rPr>
          <w:rFonts w:ascii="Times New Roman" w:hAnsi="Times New Roman" w:cs="Times New Roman"/>
          <w:kern w:val="0"/>
        </w:rPr>
        <w:t>11.</w:t>
      </w:r>
      <w:r w:rsidR="00B7426D" w:rsidRPr="00B7426D">
        <w:rPr>
          <w:rFonts w:ascii="Times New Roman" w:hAnsi="Times New Roman" w:cs="Times New Roman" w:hint="eastAsia"/>
          <w:kern w:val="0"/>
        </w:rPr>
        <w:t>60</w:t>
      </w:r>
      <w:r w:rsidRPr="00B7426D">
        <w:rPr>
          <w:rFonts w:ascii="Times New Roman" w:hAnsi="Times New Roman" w:cs="Times New Roman"/>
          <w:kern w:val="0"/>
        </w:rPr>
        <w:t>%</w:t>
      </w:r>
      <w:r w:rsidRPr="00B7426D">
        <w:rPr>
          <w:rFonts w:ascii="Times New Roman" w:hAnsiTheme="minorEastAsia" w:cs="Times New Roman"/>
          <w:kern w:val="0"/>
        </w:rPr>
        <w:t>；</w:t>
      </w:r>
      <w:r w:rsidR="00B7426D" w:rsidRPr="00B7426D">
        <w:rPr>
          <w:rFonts w:ascii="Times New Roman" w:hAnsi="Times New Roman" w:cs="Times New Roman" w:hint="eastAsia"/>
          <w:kern w:val="0"/>
        </w:rPr>
        <w:t>57</w:t>
      </w:r>
      <w:r w:rsidRPr="00B7426D">
        <w:rPr>
          <w:rFonts w:ascii="Times New Roman" w:hAnsiTheme="minorEastAsia" w:cs="Times New Roman"/>
          <w:kern w:val="0"/>
        </w:rPr>
        <w:t>份报告使用场所为其他，占报告总数的</w:t>
      </w:r>
      <w:r w:rsidR="00B7426D" w:rsidRPr="00B7426D">
        <w:rPr>
          <w:rFonts w:ascii="Times New Roman" w:hAnsi="Times New Roman" w:cs="Times New Roman" w:hint="eastAsia"/>
          <w:kern w:val="0"/>
        </w:rPr>
        <w:t>2.24</w:t>
      </w:r>
      <w:r w:rsidRPr="00B7426D">
        <w:rPr>
          <w:rFonts w:ascii="Times New Roman" w:hAnsi="Times New Roman" w:cs="Times New Roman"/>
          <w:kern w:val="0"/>
        </w:rPr>
        <w:t>%</w:t>
      </w:r>
      <w:r w:rsidRPr="00B7426D">
        <w:rPr>
          <w:rFonts w:ascii="Times New Roman" w:hAnsiTheme="minorEastAsia" w:cs="Times New Roman"/>
          <w:kern w:val="0"/>
        </w:rPr>
        <w:t>，涉及定制式义齿、软性亲水接触镜、轮椅车</w:t>
      </w:r>
      <w:r w:rsidR="003A5A96" w:rsidRPr="00B7426D">
        <w:rPr>
          <w:rFonts w:ascii="Times New Roman" w:hAnsiTheme="minorEastAsia" w:cs="Times New Roman"/>
          <w:kern w:val="0"/>
        </w:rPr>
        <w:t>（</w:t>
      </w:r>
      <w:fldSimple w:instr=" REF _Ref475535875 \h  \* MERGEFORMAT ">
        <w:r w:rsidR="00A36B80" w:rsidRPr="00A36B80">
          <w:rPr>
            <w:rFonts w:ascii="Times New Roman" w:hAnsiTheme="minorEastAsia" w:cs="Times New Roman"/>
            <w:kern w:val="0"/>
          </w:rPr>
          <w:t>图</w:t>
        </w:r>
        <w:r w:rsidR="00A36B80" w:rsidRPr="00A36B80">
          <w:rPr>
            <w:rFonts w:ascii="Times New Roman" w:hAnsi="Times New Roman" w:cs="Times New Roman"/>
            <w:kern w:val="0"/>
          </w:rPr>
          <w:t xml:space="preserve"> 8</w:t>
        </w:r>
      </w:fldSimple>
      <w:r w:rsidR="003A5A96" w:rsidRPr="00B7426D">
        <w:rPr>
          <w:rFonts w:ascii="Times New Roman" w:hAnsiTheme="minorEastAsia" w:cs="Times New Roman"/>
          <w:kern w:val="0"/>
        </w:rPr>
        <w:t>）。</w:t>
      </w:r>
      <w:r w:rsidR="00E61C09" w:rsidRPr="00B7426D">
        <w:rPr>
          <w:rFonts w:ascii="Times New Roman" w:hAnsi="Times New Roman" w:cs="Times New Roman"/>
          <w:noProof/>
        </w:rPr>
        <w:t xml:space="preserve"> </w:t>
      </w:r>
    </w:p>
    <w:p w:rsidR="00B7426D" w:rsidRPr="00FC6BB1" w:rsidRDefault="00B7426D" w:rsidP="00FC6BB1">
      <w:pPr>
        <w:widowControl/>
        <w:shd w:val="clear" w:color="auto" w:fill="FFFFFF"/>
        <w:spacing w:line="276" w:lineRule="auto"/>
        <w:jc w:val="center"/>
        <w:rPr>
          <w:rFonts w:ascii="Times New Roman" w:eastAsia="微软雅黑" w:hAnsi="Times New Roman" w:cs="Times New Roman"/>
          <w:kern w:val="0"/>
          <w:szCs w:val="21"/>
        </w:rPr>
      </w:pPr>
      <w:r w:rsidRPr="00B7426D">
        <w:rPr>
          <w:rFonts w:ascii="Times New Roman" w:eastAsia="微软雅黑" w:hAnsi="Times New Roman" w:cs="Times New Roman"/>
          <w:noProof/>
          <w:kern w:val="0"/>
          <w:szCs w:val="21"/>
        </w:rPr>
        <w:drawing>
          <wp:inline distT="0" distB="0" distL="0" distR="0">
            <wp:extent cx="4324350" cy="2352675"/>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379C8" w:rsidRPr="00FC6BB1" w:rsidRDefault="003A5A96" w:rsidP="00FC6BB1">
      <w:pPr>
        <w:pStyle w:val="a5"/>
        <w:spacing w:line="276" w:lineRule="auto"/>
        <w:jc w:val="center"/>
        <w:rPr>
          <w:rFonts w:ascii="Times New Roman" w:eastAsia="微软雅黑" w:hAnsi="Times New Roman" w:cs="Times New Roman"/>
          <w:kern w:val="0"/>
          <w:szCs w:val="21"/>
        </w:rPr>
      </w:pPr>
      <w:bookmarkStart w:id="11" w:name="_Ref475535875"/>
      <w:r w:rsidRPr="00FC6BB1">
        <w:rPr>
          <w:rFonts w:ascii="Times New Roman" w:cs="Times New Roman"/>
        </w:rPr>
        <w:t>图</w:t>
      </w:r>
      <w:r w:rsidRPr="00FC6BB1">
        <w:rPr>
          <w:rFonts w:ascii="Times New Roman" w:hAnsi="Times New Roman" w:cs="Times New Roman"/>
        </w:rPr>
        <w:t xml:space="preserve"> </w:t>
      </w:r>
      <w:r w:rsidR="00AF257A" w:rsidRPr="00FC6BB1">
        <w:rPr>
          <w:rFonts w:ascii="Times New Roman" w:hAnsi="Times New Roman" w:cs="Times New Roman"/>
        </w:rPr>
        <w:fldChar w:fldCharType="begin"/>
      </w:r>
      <w:r w:rsidR="00863E79" w:rsidRPr="00FC6BB1">
        <w:rPr>
          <w:rFonts w:ascii="Times New Roman" w:hAnsi="Times New Roman" w:cs="Times New Roman"/>
        </w:rPr>
        <w:instrText xml:space="preserve"> SEQ </w:instrText>
      </w:r>
      <w:r w:rsidR="00863E79" w:rsidRPr="00FC6BB1">
        <w:rPr>
          <w:rFonts w:ascii="Times New Roman" w:cs="Times New Roman"/>
        </w:rPr>
        <w:instrText>图</w:instrText>
      </w:r>
      <w:r w:rsidR="00863E79" w:rsidRPr="00FC6BB1">
        <w:rPr>
          <w:rFonts w:ascii="Times New Roman" w:hAnsi="Times New Roman" w:cs="Times New Roman"/>
        </w:rPr>
        <w:instrText xml:space="preserve"> \* ARABIC </w:instrText>
      </w:r>
      <w:r w:rsidR="00AF257A" w:rsidRPr="00FC6BB1">
        <w:rPr>
          <w:rFonts w:ascii="Times New Roman" w:hAnsi="Times New Roman" w:cs="Times New Roman"/>
        </w:rPr>
        <w:fldChar w:fldCharType="separate"/>
      </w:r>
      <w:r w:rsidR="00A36B80">
        <w:rPr>
          <w:rFonts w:ascii="Times New Roman" w:hAnsi="Times New Roman" w:cs="Times New Roman"/>
          <w:noProof/>
        </w:rPr>
        <w:t>8</w:t>
      </w:r>
      <w:r w:rsidR="00AF257A" w:rsidRPr="00FC6BB1">
        <w:rPr>
          <w:rFonts w:ascii="Times New Roman" w:hAnsi="Times New Roman" w:cs="Times New Roman"/>
        </w:rPr>
        <w:fldChar w:fldCharType="end"/>
      </w:r>
      <w:bookmarkEnd w:id="11"/>
      <w:r w:rsidRPr="00FC6BB1">
        <w:rPr>
          <w:rFonts w:ascii="Times New Roman" w:hAnsi="Times New Roman" w:cs="Times New Roman"/>
        </w:rPr>
        <w:t xml:space="preserve">. </w:t>
      </w:r>
      <w:r w:rsidRPr="00FC6BB1">
        <w:rPr>
          <w:rFonts w:ascii="Times New Roman" w:eastAsia="微软雅黑" w:hAnsi="Times New Roman" w:cs="Times New Roman"/>
          <w:kern w:val="0"/>
          <w:szCs w:val="21"/>
        </w:rPr>
        <w:t>201</w:t>
      </w:r>
      <w:r w:rsidR="002D78DC" w:rsidRPr="00FC6BB1">
        <w:rPr>
          <w:rFonts w:ascii="Times New Roman" w:eastAsia="微软雅黑" w:hAnsi="Times New Roman" w:cs="Times New Roman"/>
          <w:kern w:val="0"/>
          <w:szCs w:val="21"/>
        </w:rPr>
        <w:t>8</w:t>
      </w:r>
      <w:r w:rsidR="002D78DC" w:rsidRPr="00FC6BB1">
        <w:rPr>
          <w:rFonts w:ascii="Times New Roman" w:eastAsia="微软雅黑" w:hAnsi="微软雅黑" w:cs="Times New Roman"/>
          <w:kern w:val="0"/>
          <w:szCs w:val="21"/>
        </w:rPr>
        <w:t>年第</w:t>
      </w:r>
      <w:r w:rsidR="00B7426D">
        <w:rPr>
          <w:rFonts w:ascii="Times New Roman" w:eastAsia="微软雅黑" w:hAnsi="微软雅黑" w:cs="Times New Roman" w:hint="eastAsia"/>
          <w:kern w:val="0"/>
          <w:szCs w:val="21"/>
        </w:rPr>
        <w:t>三</w:t>
      </w:r>
      <w:r w:rsidR="00E61C09" w:rsidRPr="00FC6BB1">
        <w:rPr>
          <w:rFonts w:ascii="Times New Roman" w:eastAsia="微软雅黑" w:hAnsi="微软雅黑" w:cs="Times New Roman"/>
          <w:kern w:val="0"/>
          <w:szCs w:val="21"/>
        </w:rPr>
        <w:t>季度</w:t>
      </w:r>
      <w:r w:rsidR="00E61C09" w:rsidRPr="00FC6BB1">
        <w:rPr>
          <w:rFonts w:ascii="Times New Roman" w:eastAsia="微软雅黑" w:hAnsi="微软雅黑" w:cs="Times New Roman"/>
          <w:kern w:val="0"/>
        </w:rPr>
        <w:t>可疑医疗器械不良事件报告</w:t>
      </w:r>
      <w:r w:rsidRPr="00FC6BB1">
        <w:rPr>
          <w:rFonts w:ascii="Times New Roman" w:eastAsia="微软雅黑" w:hAnsi="微软雅黑" w:cs="Times New Roman"/>
          <w:kern w:val="0"/>
          <w:szCs w:val="21"/>
        </w:rPr>
        <w:t>涉及医疗器械产品</w:t>
      </w:r>
      <w:bookmarkStart w:id="12" w:name="_GoBack"/>
      <w:bookmarkEnd w:id="12"/>
      <w:r w:rsidRPr="00FC6BB1">
        <w:rPr>
          <w:rFonts w:ascii="Times New Roman" w:eastAsia="微软雅黑" w:hAnsi="微软雅黑" w:cs="Times New Roman"/>
          <w:kern w:val="0"/>
          <w:szCs w:val="21"/>
        </w:rPr>
        <w:t>使用场所分析</w:t>
      </w:r>
    </w:p>
    <w:sectPr w:rsidR="002379C8" w:rsidRPr="00FC6BB1" w:rsidSect="00C63451">
      <w:footerReference w:type="default" r:id="rId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DC" w:rsidRDefault="00FB53DC" w:rsidP="003A5A96">
      <w:r>
        <w:separator/>
      </w:r>
    </w:p>
  </w:endnote>
  <w:endnote w:type="continuationSeparator" w:id="0">
    <w:p w:rsidR="00FB53DC" w:rsidRDefault="00FB53DC" w:rsidP="003A5A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3603"/>
      <w:docPartObj>
        <w:docPartGallery w:val="Page Numbers (Bottom of Page)"/>
        <w:docPartUnique/>
      </w:docPartObj>
    </w:sdtPr>
    <w:sdtContent>
      <w:p w:rsidR="00FE120E" w:rsidRDefault="00AF257A" w:rsidP="00FE120E">
        <w:pPr>
          <w:pStyle w:val="a4"/>
          <w:jc w:val="center"/>
        </w:pPr>
        <w:fldSimple w:instr=" PAGE   \* MERGEFORMAT ">
          <w:r w:rsidR="002D7416" w:rsidRPr="002D7416">
            <w:rPr>
              <w:noProof/>
              <w:lang w:val="zh-CN"/>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DC" w:rsidRDefault="00FB53DC" w:rsidP="003A5A96">
      <w:r>
        <w:separator/>
      </w:r>
    </w:p>
  </w:footnote>
  <w:footnote w:type="continuationSeparator" w:id="0">
    <w:p w:rsidR="00FB53DC" w:rsidRDefault="00FB53DC" w:rsidP="003A5A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A96"/>
    <w:rsid w:val="000649D4"/>
    <w:rsid w:val="000C71D8"/>
    <w:rsid w:val="000D73C2"/>
    <w:rsid w:val="000E7EF9"/>
    <w:rsid w:val="001218A7"/>
    <w:rsid w:val="001341DB"/>
    <w:rsid w:val="00147080"/>
    <w:rsid w:val="00184585"/>
    <w:rsid w:val="00186228"/>
    <w:rsid w:val="001A7E01"/>
    <w:rsid w:val="001D5282"/>
    <w:rsid w:val="001E4137"/>
    <w:rsid w:val="001F64FE"/>
    <w:rsid w:val="001F6A01"/>
    <w:rsid w:val="00201609"/>
    <w:rsid w:val="002056BD"/>
    <w:rsid w:val="002126AB"/>
    <w:rsid w:val="002379C8"/>
    <w:rsid w:val="0028044C"/>
    <w:rsid w:val="002A7BEA"/>
    <w:rsid w:val="002B7184"/>
    <w:rsid w:val="002B7431"/>
    <w:rsid w:val="002C2432"/>
    <w:rsid w:val="002D7416"/>
    <w:rsid w:val="002D78DC"/>
    <w:rsid w:val="0030632F"/>
    <w:rsid w:val="00330B55"/>
    <w:rsid w:val="00332D16"/>
    <w:rsid w:val="003A0395"/>
    <w:rsid w:val="003A5A96"/>
    <w:rsid w:val="003F3B11"/>
    <w:rsid w:val="00425793"/>
    <w:rsid w:val="004C0B7D"/>
    <w:rsid w:val="004E01E5"/>
    <w:rsid w:val="004F51E8"/>
    <w:rsid w:val="005044DA"/>
    <w:rsid w:val="00583A1A"/>
    <w:rsid w:val="00593898"/>
    <w:rsid w:val="005B2278"/>
    <w:rsid w:val="005B5754"/>
    <w:rsid w:val="005F0556"/>
    <w:rsid w:val="00603527"/>
    <w:rsid w:val="006247CA"/>
    <w:rsid w:val="00625F00"/>
    <w:rsid w:val="006350FC"/>
    <w:rsid w:val="0064463D"/>
    <w:rsid w:val="006706B4"/>
    <w:rsid w:val="00671DEE"/>
    <w:rsid w:val="0067733A"/>
    <w:rsid w:val="00677817"/>
    <w:rsid w:val="00684BAF"/>
    <w:rsid w:val="006A2377"/>
    <w:rsid w:val="006A68FC"/>
    <w:rsid w:val="006C208D"/>
    <w:rsid w:val="006F2464"/>
    <w:rsid w:val="00701B0A"/>
    <w:rsid w:val="00702FAD"/>
    <w:rsid w:val="00717F20"/>
    <w:rsid w:val="00762E13"/>
    <w:rsid w:val="007744F5"/>
    <w:rsid w:val="00774D24"/>
    <w:rsid w:val="00791447"/>
    <w:rsid w:val="0079398F"/>
    <w:rsid w:val="007A17AB"/>
    <w:rsid w:val="007C0598"/>
    <w:rsid w:val="007C0A27"/>
    <w:rsid w:val="007F677A"/>
    <w:rsid w:val="00800C6A"/>
    <w:rsid w:val="00806544"/>
    <w:rsid w:val="008347E7"/>
    <w:rsid w:val="00847501"/>
    <w:rsid w:val="00863E79"/>
    <w:rsid w:val="008A7C77"/>
    <w:rsid w:val="008B5117"/>
    <w:rsid w:val="008B63A4"/>
    <w:rsid w:val="008E69D4"/>
    <w:rsid w:val="008F0C03"/>
    <w:rsid w:val="009002C5"/>
    <w:rsid w:val="00926842"/>
    <w:rsid w:val="00944711"/>
    <w:rsid w:val="00956891"/>
    <w:rsid w:val="0099295E"/>
    <w:rsid w:val="009E2ED8"/>
    <w:rsid w:val="00A05870"/>
    <w:rsid w:val="00A273C3"/>
    <w:rsid w:val="00A36B80"/>
    <w:rsid w:val="00A652D1"/>
    <w:rsid w:val="00A80B6A"/>
    <w:rsid w:val="00AB1313"/>
    <w:rsid w:val="00AB1AEB"/>
    <w:rsid w:val="00AB37C4"/>
    <w:rsid w:val="00AD5980"/>
    <w:rsid w:val="00AE54D9"/>
    <w:rsid w:val="00AF257A"/>
    <w:rsid w:val="00B11A8B"/>
    <w:rsid w:val="00B1268A"/>
    <w:rsid w:val="00B5359F"/>
    <w:rsid w:val="00B71BEC"/>
    <w:rsid w:val="00B7426D"/>
    <w:rsid w:val="00B84C9B"/>
    <w:rsid w:val="00B8546E"/>
    <w:rsid w:val="00BA55C3"/>
    <w:rsid w:val="00BA5871"/>
    <w:rsid w:val="00BB1DA3"/>
    <w:rsid w:val="00BF4567"/>
    <w:rsid w:val="00C44A82"/>
    <w:rsid w:val="00C57E3D"/>
    <w:rsid w:val="00C63451"/>
    <w:rsid w:val="00C63B7D"/>
    <w:rsid w:val="00C70AE0"/>
    <w:rsid w:val="00C941AC"/>
    <w:rsid w:val="00CB2160"/>
    <w:rsid w:val="00CB2DFA"/>
    <w:rsid w:val="00CB48FA"/>
    <w:rsid w:val="00CB50DC"/>
    <w:rsid w:val="00CC59A6"/>
    <w:rsid w:val="00CC6437"/>
    <w:rsid w:val="00CD00BE"/>
    <w:rsid w:val="00CE4736"/>
    <w:rsid w:val="00D01B7E"/>
    <w:rsid w:val="00D0297E"/>
    <w:rsid w:val="00D3184E"/>
    <w:rsid w:val="00D35B3F"/>
    <w:rsid w:val="00D40467"/>
    <w:rsid w:val="00D7712C"/>
    <w:rsid w:val="00D807F8"/>
    <w:rsid w:val="00D9032D"/>
    <w:rsid w:val="00D95D5D"/>
    <w:rsid w:val="00DA4AEE"/>
    <w:rsid w:val="00DD340C"/>
    <w:rsid w:val="00DD4CAD"/>
    <w:rsid w:val="00DD512A"/>
    <w:rsid w:val="00DE1E60"/>
    <w:rsid w:val="00DE3030"/>
    <w:rsid w:val="00E0101F"/>
    <w:rsid w:val="00E10C3F"/>
    <w:rsid w:val="00E31DC6"/>
    <w:rsid w:val="00E50787"/>
    <w:rsid w:val="00E54F95"/>
    <w:rsid w:val="00E61C09"/>
    <w:rsid w:val="00E65AF7"/>
    <w:rsid w:val="00E66065"/>
    <w:rsid w:val="00EA122F"/>
    <w:rsid w:val="00EB0E7A"/>
    <w:rsid w:val="00EB6943"/>
    <w:rsid w:val="00EB7F32"/>
    <w:rsid w:val="00ED040E"/>
    <w:rsid w:val="00ED5B79"/>
    <w:rsid w:val="00EF126F"/>
    <w:rsid w:val="00F24CFA"/>
    <w:rsid w:val="00F5191D"/>
    <w:rsid w:val="00F656C7"/>
    <w:rsid w:val="00F76E65"/>
    <w:rsid w:val="00FA1FFA"/>
    <w:rsid w:val="00FA57CC"/>
    <w:rsid w:val="00FA6FD7"/>
    <w:rsid w:val="00FB53DC"/>
    <w:rsid w:val="00FC6BB1"/>
    <w:rsid w:val="00FE120E"/>
    <w:rsid w:val="00FE40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5A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5A96"/>
    <w:rPr>
      <w:sz w:val="18"/>
      <w:szCs w:val="18"/>
    </w:rPr>
  </w:style>
  <w:style w:type="paragraph" w:styleId="a4">
    <w:name w:val="footer"/>
    <w:basedOn w:val="a"/>
    <w:link w:val="Char0"/>
    <w:uiPriority w:val="99"/>
    <w:unhideWhenUsed/>
    <w:rsid w:val="003A5A96"/>
    <w:pPr>
      <w:tabs>
        <w:tab w:val="center" w:pos="4153"/>
        <w:tab w:val="right" w:pos="8306"/>
      </w:tabs>
      <w:snapToGrid w:val="0"/>
      <w:jc w:val="left"/>
    </w:pPr>
    <w:rPr>
      <w:sz w:val="18"/>
      <w:szCs w:val="18"/>
    </w:rPr>
  </w:style>
  <w:style w:type="character" w:customStyle="1" w:styleId="Char0">
    <w:name w:val="页脚 Char"/>
    <w:basedOn w:val="a0"/>
    <w:link w:val="a4"/>
    <w:uiPriority w:val="99"/>
    <w:rsid w:val="003A5A96"/>
    <w:rPr>
      <w:sz w:val="18"/>
      <w:szCs w:val="18"/>
    </w:rPr>
  </w:style>
  <w:style w:type="paragraph" w:styleId="a5">
    <w:name w:val="caption"/>
    <w:basedOn w:val="a"/>
    <w:next w:val="a"/>
    <w:uiPriority w:val="35"/>
    <w:unhideWhenUsed/>
    <w:qFormat/>
    <w:rsid w:val="003A5A96"/>
    <w:rPr>
      <w:rFonts w:asciiTheme="majorHAnsi" w:eastAsia="黑体" w:hAnsiTheme="majorHAnsi" w:cstheme="majorBidi"/>
      <w:sz w:val="20"/>
      <w:szCs w:val="20"/>
    </w:rPr>
  </w:style>
  <w:style w:type="paragraph" w:styleId="a6">
    <w:name w:val="No Spacing"/>
    <w:uiPriority w:val="1"/>
    <w:qFormat/>
    <w:rsid w:val="003A5A96"/>
    <w:pPr>
      <w:widowControl w:val="0"/>
      <w:jc w:val="both"/>
    </w:pPr>
  </w:style>
  <w:style w:type="table" w:styleId="a7">
    <w:name w:val="Table Grid"/>
    <w:basedOn w:val="a1"/>
    <w:uiPriority w:val="59"/>
    <w:rsid w:val="003A5A9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3A5A96"/>
    <w:rPr>
      <w:sz w:val="18"/>
      <w:szCs w:val="18"/>
    </w:rPr>
  </w:style>
  <w:style w:type="character" w:customStyle="1" w:styleId="Char1">
    <w:name w:val="批注框文本 Char"/>
    <w:basedOn w:val="a0"/>
    <w:link w:val="a8"/>
    <w:uiPriority w:val="99"/>
    <w:semiHidden/>
    <w:rsid w:val="003A5A96"/>
    <w:rPr>
      <w:sz w:val="18"/>
      <w:szCs w:val="18"/>
    </w:rPr>
  </w:style>
  <w:style w:type="paragraph" w:styleId="a9">
    <w:name w:val="Document Map"/>
    <w:basedOn w:val="a"/>
    <w:link w:val="Char2"/>
    <w:uiPriority w:val="99"/>
    <w:semiHidden/>
    <w:unhideWhenUsed/>
    <w:rsid w:val="003A5A96"/>
    <w:rPr>
      <w:rFonts w:ascii="宋体" w:eastAsia="宋体"/>
      <w:sz w:val="18"/>
      <w:szCs w:val="18"/>
    </w:rPr>
  </w:style>
  <w:style w:type="character" w:customStyle="1" w:styleId="Char2">
    <w:name w:val="文档结构图 Char"/>
    <w:basedOn w:val="a0"/>
    <w:link w:val="a9"/>
    <w:uiPriority w:val="99"/>
    <w:semiHidden/>
    <w:rsid w:val="003A5A96"/>
    <w:rPr>
      <w:rFonts w:ascii="宋体" w:eastAsia="宋体"/>
      <w:sz w:val="18"/>
      <w:szCs w:val="18"/>
    </w:rPr>
  </w:style>
  <w:style w:type="character" w:styleId="aa">
    <w:name w:val="Hyperlink"/>
    <w:basedOn w:val="a0"/>
    <w:uiPriority w:val="99"/>
    <w:semiHidden/>
    <w:unhideWhenUsed/>
    <w:rsid w:val="007A17AB"/>
    <w:rPr>
      <w:color w:val="0000FF"/>
      <w:u w:val="single"/>
    </w:rPr>
  </w:style>
</w:styles>
</file>

<file path=word/webSettings.xml><?xml version="1.0" encoding="utf-8"?>
<w:webSettings xmlns:r="http://schemas.openxmlformats.org/officeDocument/2006/relationships" xmlns:w="http://schemas.openxmlformats.org/wordprocessingml/2006/main">
  <w:divs>
    <w:div w:id="901213427">
      <w:bodyDiv w:val="1"/>
      <w:marLeft w:val="0"/>
      <w:marRight w:val="0"/>
      <w:marTop w:val="0"/>
      <w:marBottom w:val="0"/>
      <w:divBdr>
        <w:top w:val="none" w:sz="0" w:space="0" w:color="auto"/>
        <w:left w:val="none" w:sz="0" w:space="0" w:color="auto"/>
        <w:bottom w:val="none" w:sz="0" w:space="0" w:color="auto"/>
        <w:right w:val="none" w:sz="0" w:space="0" w:color="auto"/>
      </w:divBdr>
    </w:div>
    <w:div w:id="1389452298">
      <w:bodyDiv w:val="1"/>
      <w:marLeft w:val="0"/>
      <w:marRight w:val="0"/>
      <w:marTop w:val="0"/>
      <w:marBottom w:val="0"/>
      <w:divBdr>
        <w:top w:val="none" w:sz="0" w:space="0" w:color="auto"/>
        <w:left w:val="none" w:sz="0" w:space="0" w:color="auto"/>
        <w:bottom w:val="none" w:sz="0" w:space="0" w:color="auto"/>
        <w:right w:val="none" w:sz="0" w:space="0" w:color="auto"/>
      </w:divBdr>
      <w:divsChild>
        <w:div w:id="1427992372">
          <w:marLeft w:val="0"/>
          <w:marRight w:val="0"/>
          <w:marTop w:val="0"/>
          <w:marBottom w:val="0"/>
          <w:divBdr>
            <w:top w:val="single" w:sz="2" w:space="3" w:color="FFFFFF"/>
            <w:left w:val="none" w:sz="0" w:space="0" w:color="auto"/>
            <w:bottom w:val="none" w:sz="0" w:space="0" w:color="auto"/>
            <w:right w:val="none" w:sz="0" w:space="0" w:color="auto"/>
          </w:divBdr>
        </w:div>
        <w:div w:id="1021008474">
          <w:marLeft w:val="0"/>
          <w:marRight w:val="0"/>
          <w:marTop w:val="0"/>
          <w:marBottom w:val="0"/>
          <w:divBdr>
            <w:top w:val="single" w:sz="2" w:space="3" w:color="FFFFFF"/>
            <w:left w:val="none" w:sz="0" w:space="0" w:color="auto"/>
            <w:bottom w:val="none" w:sz="0" w:space="0" w:color="auto"/>
            <w:right w:val="none" w:sz="0" w:space="0" w:color="auto"/>
          </w:divBdr>
        </w:div>
        <w:div w:id="1332295841">
          <w:marLeft w:val="0"/>
          <w:marRight w:val="0"/>
          <w:marTop w:val="0"/>
          <w:marBottom w:val="0"/>
          <w:divBdr>
            <w:top w:val="single" w:sz="2" w:space="3" w:color="FFFFFF"/>
            <w:left w:val="none" w:sz="0" w:space="0" w:color="auto"/>
            <w:bottom w:val="none" w:sz="0" w:space="0" w:color="auto"/>
            <w:right w:val="none" w:sz="0" w:space="0" w:color="auto"/>
          </w:divBdr>
        </w:div>
        <w:div w:id="2124881223">
          <w:marLeft w:val="0"/>
          <w:marRight w:val="0"/>
          <w:marTop w:val="0"/>
          <w:marBottom w:val="0"/>
          <w:divBdr>
            <w:top w:val="single" w:sz="2" w:space="3" w:color="FFFFFF"/>
            <w:left w:val="none" w:sz="0" w:space="0" w:color="auto"/>
            <w:bottom w:val="none" w:sz="0" w:space="0" w:color="auto"/>
            <w:right w:val="none" w:sz="0" w:space="0" w:color="auto"/>
          </w:divBdr>
        </w:div>
        <w:div w:id="867568277">
          <w:marLeft w:val="0"/>
          <w:marRight w:val="0"/>
          <w:marTop w:val="0"/>
          <w:marBottom w:val="0"/>
          <w:divBdr>
            <w:top w:val="single" w:sz="2" w:space="3" w:color="FFFFFF"/>
            <w:left w:val="none" w:sz="0" w:space="0" w:color="auto"/>
            <w:bottom w:val="none" w:sz="0" w:space="0" w:color="auto"/>
            <w:right w:val="none" w:sz="0" w:space="0" w:color="auto"/>
          </w:divBdr>
        </w:div>
        <w:div w:id="188105824">
          <w:marLeft w:val="0"/>
          <w:marRight w:val="0"/>
          <w:marTop w:val="0"/>
          <w:marBottom w:val="0"/>
          <w:divBdr>
            <w:top w:val="single" w:sz="2" w:space="3" w:color="FFFFFF"/>
            <w:left w:val="none" w:sz="0" w:space="0" w:color="auto"/>
            <w:bottom w:val="none" w:sz="0" w:space="0" w:color="auto"/>
            <w:right w:val="none" w:sz="0" w:space="0" w:color="auto"/>
          </w:divBdr>
        </w:div>
        <w:div w:id="735973552">
          <w:marLeft w:val="0"/>
          <w:marRight w:val="0"/>
          <w:marTop w:val="0"/>
          <w:marBottom w:val="0"/>
          <w:divBdr>
            <w:top w:val="single" w:sz="2" w:space="3" w:color="FFFFFF"/>
            <w:left w:val="none" w:sz="0" w:space="0" w:color="auto"/>
            <w:bottom w:val="none" w:sz="0" w:space="0" w:color="auto"/>
            <w:right w:val="none" w:sz="0" w:space="0" w:color="auto"/>
          </w:divBdr>
        </w:div>
        <w:div w:id="821966371">
          <w:marLeft w:val="0"/>
          <w:marRight w:val="0"/>
          <w:marTop w:val="0"/>
          <w:marBottom w:val="0"/>
          <w:divBdr>
            <w:top w:val="single" w:sz="2" w:space="3" w:color="FFFFFF"/>
            <w:left w:val="none" w:sz="0" w:space="0" w:color="auto"/>
            <w:bottom w:val="none" w:sz="0" w:space="0" w:color="auto"/>
            <w:right w:val="none" w:sz="0" w:space="0" w:color="auto"/>
          </w:divBdr>
        </w:div>
        <w:div w:id="2109301543">
          <w:marLeft w:val="0"/>
          <w:marRight w:val="0"/>
          <w:marTop w:val="0"/>
          <w:marBottom w:val="0"/>
          <w:divBdr>
            <w:top w:val="single" w:sz="2" w:space="3" w:color="FFFFFF"/>
            <w:left w:val="none" w:sz="0" w:space="0" w:color="auto"/>
            <w:bottom w:val="none" w:sz="0" w:space="0" w:color="auto"/>
            <w:right w:val="none" w:sz="0" w:space="0" w:color="auto"/>
          </w:divBdr>
        </w:div>
        <w:div w:id="126902826">
          <w:marLeft w:val="0"/>
          <w:marRight w:val="0"/>
          <w:marTop w:val="0"/>
          <w:marBottom w:val="0"/>
          <w:divBdr>
            <w:top w:val="single" w:sz="2" w:space="3" w:color="FFFFFF"/>
            <w:left w:val="none" w:sz="0" w:space="0" w:color="auto"/>
            <w:bottom w:val="none" w:sz="0" w:space="0" w:color="auto"/>
            <w:right w:val="none" w:sz="0" w:space="0" w:color="auto"/>
          </w:divBdr>
        </w:div>
        <w:div w:id="420489070">
          <w:marLeft w:val="0"/>
          <w:marRight w:val="0"/>
          <w:marTop w:val="0"/>
          <w:marBottom w:val="0"/>
          <w:divBdr>
            <w:top w:val="single" w:sz="2" w:space="3" w:color="FFFFFF"/>
            <w:left w:val="none" w:sz="0" w:space="0" w:color="auto"/>
            <w:bottom w:val="none" w:sz="0" w:space="0" w:color="auto"/>
            <w:right w:val="none" w:sz="0" w:space="0" w:color="auto"/>
          </w:divBdr>
        </w:div>
        <w:div w:id="747265595">
          <w:marLeft w:val="0"/>
          <w:marRight w:val="0"/>
          <w:marTop w:val="0"/>
          <w:marBottom w:val="0"/>
          <w:divBdr>
            <w:top w:val="single" w:sz="2" w:space="3" w:color="FFFFFF"/>
            <w:left w:val="none" w:sz="0" w:space="0" w:color="auto"/>
            <w:bottom w:val="none" w:sz="0" w:space="0" w:color="auto"/>
            <w:right w:val="none" w:sz="0" w:space="0" w:color="auto"/>
          </w:divBdr>
        </w:div>
        <w:div w:id="592396904">
          <w:marLeft w:val="0"/>
          <w:marRight w:val="0"/>
          <w:marTop w:val="0"/>
          <w:marBottom w:val="0"/>
          <w:divBdr>
            <w:top w:val="single" w:sz="2" w:space="3" w:color="FFFFFF"/>
            <w:left w:val="none" w:sz="0" w:space="0" w:color="auto"/>
            <w:bottom w:val="none" w:sz="0" w:space="0" w:color="auto"/>
            <w:right w:val="none" w:sz="0" w:space="0" w:color="auto"/>
          </w:divBdr>
        </w:div>
        <w:div w:id="1024595566">
          <w:marLeft w:val="0"/>
          <w:marRight w:val="0"/>
          <w:marTop w:val="0"/>
          <w:marBottom w:val="0"/>
          <w:divBdr>
            <w:top w:val="single" w:sz="2" w:space="3" w:color="FFFFFF"/>
            <w:left w:val="none" w:sz="0" w:space="0" w:color="auto"/>
            <w:bottom w:val="none" w:sz="0" w:space="0" w:color="auto"/>
            <w:right w:val="none" w:sz="0" w:space="0" w:color="auto"/>
          </w:divBdr>
        </w:div>
        <w:div w:id="357783495">
          <w:marLeft w:val="0"/>
          <w:marRight w:val="0"/>
          <w:marTop w:val="0"/>
          <w:marBottom w:val="0"/>
          <w:divBdr>
            <w:top w:val="single" w:sz="2" w:space="3" w:color="FFFFFF"/>
            <w:left w:val="none" w:sz="0" w:space="0" w:color="auto"/>
            <w:bottom w:val="none" w:sz="0" w:space="0" w:color="auto"/>
            <w:right w:val="none" w:sz="0" w:space="0" w:color="auto"/>
          </w:divBdr>
        </w:div>
        <w:div w:id="25984775">
          <w:marLeft w:val="0"/>
          <w:marRight w:val="0"/>
          <w:marTop w:val="0"/>
          <w:marBottom w:val="0"/>
          <w:divBdr>
            <w:top w:val="single" w:sz="2" w:space="3" w:color="FFFFFF"/>
            <w:left w:val="none" w:sz="0" w:space="0" w:color="auto"/>
            <w:bottom w:val="none" w:sz="0" w:space="0" w:color="auto"/>
            <w:right w:val="none" w:sz="0" w:space="0" w:color="auto"/>
          </w:divBdr>
        </w:div>
        <w:div w:id="1444223206">
          <w:marLeft w:val="0"/>
          <w:marRight w:val="0"/>
          <w:marTop w:val="0"/>
          <w:marBottom w:val="0"/>
          <w:divBdr>
            <w:top w:val="single" w:sz="2" w:space="3" w:color="FFFFFF"/>
            <w:left w:val="none" w:sz="0" w:space="0" w:color="auto"/>
            <w:bottom w:val="none" w:sz="0" w:space="0" w:color="auto"/>
            <w:right w:val="none" w:sz="0" w:space="0" w:color="auto"/>
          </w:divBdr>
        </w:div>
        <w:div w:id="1300771547">
          <w:marLeft w:val="0"/>
          <w:marRight w:val="0"/>
          <w:marTop w:val="0"/>
          <w:marBottom w:val="0"/>
          <w:divBdr>
            <w:top w:val="single" w:sz="2" w:space="3" w:color="FFFFFF"/>
            <w:left w:val="none" w:sz="0" w:space="0" w:color="auto"/>
            <w:bottom w:val="none" w:sz="0" w:space="0" w:color="auto"/>
            <w:right w:val="none" w:sz="0" w:space="0" w:color="auto"/>
          </w:divBdr>
        </w:div>
        <w:div w:id="189493578">
          <w:marLeft w:val="0"/>
          <w:marRight w:val="0"/>
          <w:marTop w:val="0"/>
          <w:marBottom w:val="0"/>
          <w:divBdr>
            <w:top w:val="single" w:sz="2" w:space="3" w:color="FFFFFF"/>
            <w:left w:val="none" w:sz="0" w:space="0" w:color="auto"/>
            <w:bottom w:val="none" w:sz="0" w:space="0" w:color="auto"/>
            <w:right w:val="none" w:sz="0" w:space="0" w:color="auto"/>
          </w:divBdr>
        </w:div>
        <w:div w:id="1073089804">
          <w:marLeft w:val="0"/>
          <w:marRight w:val="0"/>
          <w:marTop w:val="0"/>
          <w:marBottom w:val="0"/>
          <w:divBdr>
            <w:top w:val="single" w:sz="2" w:space="3" w:color="FFFFFF"/>
            <w:left w:val="none" w:sz="0" w:space="0" w:color="auto"/>
            <w:bottom w:val="none" w:sz="0" w:space="0" w:color="auto"/>
            <w:right w:val="none" w:sz="0" w:space="0" w:color="auto"/>
          </w:divBdr>
        </w:div>
        <w:div w:id="266276751">
          <w:marLeft w:val="0"/>
          <w:marRight w:val="0"/>
          <w:marTop w:val="0"/>
          <w:marBottom w:val="0"/>
          <w:divBdr>
            <w:top w:val="single" w:sz="2" w:space="3" w:color="FFFFFF"/>
            <w:left w:val="none" w:sz="0" w:space="0" w:color="auto"/>
            <w:bottom w:val="none" w:sz="0" w:space="0" w:color="auto"/>
            <w:right w:val="none" w:sz="0" w:space="0" w:color="auto"/>
          </w:divBdr>
        </w:div>
        <w:div w:id="2138177927">
          <w:marLeft w:val="0"/>
          <w:marRight w:val="0"/>
          <w:marTop w:val="0"/>
          <w:marBottom w:val="0"/>
          <w:divBdr>
            <w:top w:val="single" w:sz="2" w:space="3" w:color="FFFFFF"/>
            <w:left w:val="none" w:sz="0" w:space="0" w:color="auto"/>
            <w:bottom w:val="none" w:sz="0" w:space="0" w:color="auto"/>
            <w:right w:val="none" w:sz="0" w:space="0" w:color="auto"/>
          </w:divBdr>
        </w:div>
        <w:div w:id="591819148">
          <w:marLeft w:val="0"/>
          <w:marRight w:val="0"/>
          <w:marTop w:val="0"/>
          <w:marBottom w:val="0"/>
          <w:divBdr>
            <w:top w:val="single" w:sz="2" w:space="3" w:color="FFFFFF"/>
            <w:left w:val="none" w:sz="0" w:space="0" w:color="auto"/>
            <w:bottom w:val="none" w:sz="0" w:space="0" w:color="auto"/>
            <w:right w:val="none" w:sz="0" w:space="0" w:color="auto"/>
          </w:divBdr>
        </w:div>
        <w:div w:id="818115586">
          <w:marLeft w:val="0"/>
          <w:marRight w:val="0"/>
          <w:marTop w:val="0"/>
          <w:marBottom w:val="0"/>
          <w:divBdr>
            <w:top w:val="single" w:sz="2" w:space="3" w:color="FFFFFF"/>
            <w:left w:val="none" w:sz="0" w:space="0" w:color="auto"/>
            <w:bottom w:val="none" w:sz="0" w:space="0" w:color="auto"/>
            <w:right w:val="none" w:sz="0" w:space="0" w:color="auto"/>
          </w:divBdr>
        </w:div>
        <w:div w:id="282269233">
          <w:marLeft w:val="0"/>
          <w:marRight w:val="0"/>
          <w:marTop w:val="0"/>
          <w:marBottom w:val="0"/>
          <w:divBdr>
            <w:top w:val="single" w:sz="2" w:space="3" w:color="FFFFFF"/>
            <w:left w:val="none" w:sz="0" w:space="0" w:color="auto"/>
            <w:bottom w:val="none" w:sz="0" w:space="0" w:color="auto"/>
            <w:right w:val="none" w:sz="0" w:space="0" w:color="auto"/>
          </w:divBdr>
        </w:div>
        <w:div w:id="1532956594">
          <w:marLeft w:val="0"/>
          <w:marRight w:val="0"/>
          <w:marTop w:val="0"/>
          <w:marBottom w:val="0"/>
          <w:divBdr>
            <w:top w:val="single" w:sz="2" w:space="3" w:color="FFFFFF"/>
            <w:left w:val="none" w:sz="0" w:space="0" w:color="auto"/>
            <w:bottom w:val="none" w:sz="0" w:space="0" w:color="auto"/>
            <w:right w:val="none" w:sz="0" w:space="0" w:color="auto"/>
          </w:divBdr>
        </w:div>
        <w:div w:id="428740500">
          <w:marLeft w:val="0"/>
          <w:marRight w:val="0"/>
          <w:marTop w:val="0"/>
          <w:marBottom w:val="0"/>
          <w:divBdr>
            <w:top w:val="single" w:sz="2" w:space="3" w:color="FFFFFF"/>
            <w:left w:val="none" w:sz="0" w:space="0" w:color="auto"/>
            <w:bottom w:val="none" w:sz="0" w:space="0" w:color="auto"/>
            <w:right w:val="none" w:sz="0" w:space="0" w:color="auto"/>
          </w:divBdr>
        </w:div>
        <w:div w:id="607740415">
          <w:marLeft w:val="0"/>
          <w:marRight w:val="0"/>
          <w:marTop w:val="0"/>
          <w:marBottom w:val="0"/>
          <w:divBdr>
            <w:top w:val="single" w:sz="2" w:space="3" w:color="FFFFFF"/>
            <w:left w:val="none" w:sz="0" w:space="0" w:color="auto"/>
            <w:bottom w:val="none" w:sz="0" w:space="0" w:color="auto"/>
            <w:right w:val="none" w:sz="0" w:space="0" w:color="auto"/>
          </w:divBdr>
        </w:div>
        <w:div w:id="529033906">
          <w:marLeft w:val="0"/>
          <w:marRight w:val="0"/>
          <w:marTop w:val="0"/>
          <w:marBottom w:val="0"/>
          <w:divBdr>
            <w:top w:val="single" w:sz="2" w:space="3" w:color="FFFFFF"/>
            <w:left w:val="none" w:sz="0" w:space="0" w:color="auto"/>
            <w:bottom w:val="none" w:sz="0" w:space="0" w:color="auto"/>
            <w:right w:val="none" w:sz="0" w:space="0" w:color="auto"/>
          </w:divBdr>
        </w:div>
        <w:div w:id="1591115205">
          <w:marLeft w:val="0"/>
          <w:marRight w:val="0"/>
          <w:marTop w:val="0"/>
          <w:marBottom w:val="0"/>
          <w:divBdr>
            <w:top w:val="single" w:sz="2" w:space="3" w:color="FFFFFF"/>
            <w:left w:val="none" w:sz="0" w:space="0" w:color="auto"/>
            <w:bottom w:val="none" w:sz="0" w:space="0" w:color="auto"/>
            <w:right w:val="none" w:sz="0" w:space="0" w:color="auto"/>
          </w:divBdr>
        </w:div>
        <w:div w:id="385033322">
          <w:marLeft w:val="0"/>
          <w:marRight w:val="0"/>
          <w:marTop w:val="0"/>
          <w:marBottom w:val="0"/>
          <w:divBdr>
            <w:top w:val="single" w:sz="2" w:space="3" w:color="FFFFFF"/>
            <w:left w:val="none" w:sz="0" w:space="0" w:color="auto"/>
            <w:bottom w:val="none" w:sz="0" w:space="0" w:color="auto"/>
            <w:right w:val="none" w:sz="0" w:space="0" w:color="auto"/>
          </w:divBdr>
        </w:div>
        <w:div w:id="408625492">
          <w:marLeft w:val="0"/>
          <w:marRight w:val="0"/>
          <w:marTop w:val="0"/>
          <w:marBottom w:val="0"/>
          <w:divBdr>
            <w:top w:val="single" w:sz="2" w:space="3" w:color="FFFFFF"/>
            <w:left w:val="none" w:sz="0" w:space="0" w:color="auto"/>
            <w:bottom w:val="none" w:sz="0" w:space="0" w:color="auto"/>
            <w:right w:val="none" w:sz="0" w:space="0" w:color="auto"/>
          </w:divBdr>
        </w:div>
        <w:div w:id="820850571">
          <w:marLeft w:val="0"/>
          <w:marRight w:val="0"/>
          <w:marTop w:val="0"/>
          <w:marBottom w:val="0"/>
          <w:divBdr>
            <w:top w:val="single" w:sz="2" w:space="3" w:color="FFFFFF"/>
            <w:left w:val="none" w:sz="0" w:space="0" w:color="auto"/>
            <w:bottom w:val="none" w:sz="0" w:space="0" w:color="auto"/>
            <w:right w:val="none" w:sz="0" w:space="0" w:color="auto"/>
          </w:divBdr>
        </w:div>
        <w:div w:id="61563103">
          <w:marLeft w:val="0"/>
          <w:marRight w:val="0"/>
          <w:marTop w:val="0"/>
          <w:marBottom w:val="0"/>
          <w:divBdr>
            <w:top w:val="single" w:sz="2" w:space="3" w:color="FFFFFF"/>
            <w:left w:val="none" w:sz="0" w:space="0" w:color="auto"/>
            <w:bottom w:val="none" w:sz="0" w:space="0" w:color="auto"/>
            <w:right w:val="none" w:sz="0" w:space="0" w:color="auto"/>
          </w:divBdr>
        </w:div>
        <w:div w:id="25493887">
          <w:marLeft w:val="0"/>
          <w:marRight w:val="0"/>
          <w:marTop w:val="0"/>
          <w:marBottom w:val="0"/>
          <w:divBdr>
            <w:top w:val="single" w:sz="2" w:space="3" w:color="FFFFFF"/>
            <w:left w:val="none" w:sz="0" w:space="0" w:color="auto"/>
            <w:bottom w:val="none" w:sz="0" w:space="0" w:color="auto"/>
            <w:right w:val="none" w:sz="0" w:space="0" w:color="auto"/>
          </w:divBdr>
        </w:div>
        <w:div w:id="1665544472">
          <w:marLeft w:val="0"/>
          <w:marRight w:val="0"/>
          <w:marTop w:val="0"/>
          <w:marBottom w:val="0"/>
          <w:divBdr>
            <w:top w:val="single" w:sz="2" w:space="3" w:color="FFFFFF"/>
            <w:left w:val="none" w:sz="0" w:space="0" w:color="auto"/>
            <w:bottom w:val="none" w:sz="0" w:space="0" w:color="auto"/>
            <w:right w:val="none" w:sz="0" w:space="0" w:color="auto"/>
          </w:divBdr>
        </w:div>
        <w:div w:id="1895115912">
          <w:marLeft w:val="0"/>
          <w:marRight w:val="0"/>
          <w:marTop w:val="0"/>
          <w:marBottom w:val="0"/>
          <w:divBdr>
            <w:top w:val="single" w:sz="2" w:space="3" w:color="FFFFFF"/>
            <w:left w:val="none" w:sz="0" w:space="0" w:color="auto"/>
            <w:bottom w:val="none" w:sz="0" w:space="0" w:color="auto"/>
            <w:right w:val="none" w:sz="0" w:space="0" w:color="auto"/>
          </w:divBdr>
        </w:div>
        <w:div w:id="1879854297">
          <w:marLeft w:val="0"/>
          <w:marRight w:val="0"/>
          <w:marTop w:val="0"/>
          <w:marBottom w:val="0"/>
          <w:divBdr>
            <w:top w:val="single" w:sz="2" w:space="3" w:color="FFFFFF"/>
            <w:left w:val="none" w:sz="0" w:space="0" w:color="auto"/>
            <w:bottom w:val="none" w:sz="0" w:space="0" w:color="auto"/>
            <w:right w:val="none" w:sz="0" w:space="0" w:color="auto"/>
          </w:divBdr>
        </w:div>
        <w:div w:id="1182625893">
          <w:marLeft w:val="0"/>
          <w:marRight w:val="0"/>
          <w:marTop w:val="0"/>
          <w:marBottom w:val="0"/>
          <w:divBdr>
            <w:top w:val="single" w:sz="2" w:space="3" w:color="FFFFFF"/>
            <w:left w:val="none" w:sz="0" w:space="0" w:color="auto"/>
            <w:bottom w:val="none" w:sz="0" w:space="0" w:color="auto"/>
            <w:right w:val="none" w:sz="0" w:space="0" w:color="auto"/>
          </w:divBdr>
        </w:div>
        <w:div w:id="1879080827">
          <w:marLeft w:val="0"/>
          <w:marRight w:val="0"/>
          <w:marTop w:val="0"/>
          <w:marBottom w:val="0"/>
          <w:divBdr>
            <w:top w:val="single" w:sz="2" w:space="3" w:color="FFFFFF"/>
            <w:left w:val="none" w:sz="0" w:space="0" w:color="auto"/>
            <w:bottom w:val="none" w:sz="0" w:space="0" w:color="auto"/>
            <w:right w:val="none" w:sz="0" w:space="0" w:color="auto"/>
          </w:divBdr>
        </w:div>
        <w:div w:id="1316110703">
          <w:marLeft w:val="0"/>
          <w:marRight w:val="0"/>
          <w:marTop w:val="0"/>
          <w:marBottom w:val="0"/>
          <w:divBdr>
            <w:top w:val="single" w:sz="2" w:space="3" w:color="FFFFFF"/>
            <w:left w:val="none" w:sz="0" w:space="0" w:color="auto"/>
            <w:bottom w:val="none" w:sz="0" w:space="0" w:color="auto"/>
            <w:right w:val="none" w:sz="0" w:space="0" w:color="auto"/>
          </w:divBdr>
        </w:div>
        <w:div w:id="1432893107">
          <w:marLeft w:val="0"/>
          <w:marRight w:val="0"/>
          <w:marTop w:val="0"/>
          <w:marBottom w:val="0"/>
          <w:divBdr>
            <w:top w:val="single" w:sz="2" w:space="3" w:color="FFFFFF"/>
            <w:left w:val="none" w:sz="0" w:space="0" w:color="auto"/>
            <w:bottom w:val="none" w:sz="0" w:space="0" w:color="auto"/>
            <w:right w:val="none" w:sz="0" w:space="0" w:color="auto"/>
          </w:divBdr>
        </w:div>
        <w:div w:id="70856141">
          <w:marLeft w:val="0"/>
          <w:marRight w:val="0"/>
          <w:marTop w:val="0"/>
          <w:marBottom w:val="0"/>
          <w:divBdr>
            <w:top w:val="single" w:sz="2" w:space="3" w:color="FFFFFF"/>
            <w:left w:val="none" w:sz="0" w:space="0" w:color="auto"/>
            <w:bottom w:val="none" w:sz="0" w:space="0" w:color="auto"/>
            <w:right w:val="none" w:sz="0" w:space="0" w:color="auto"/>
          </w:divBdr>
        </w:div>
        <w:div w:id="626399655">
          <w:marLeft w:val="0"/>
          <w:marRight w:val="0"/>
          <w:marTop w:val="0"/>
          <w:marBottom w:val="0"/>
          <w:divBdr>
            <w:top w:val="single" w:sz="2" w:space="3" w:color="FFFFFF"/>
            <w:left w:val="none" w:sz="0" w:space="0" w:color="auto"/>
            <w:bottom w:val="none" w:sz="0" w:space="0" w:color="auto"/>
            <w:right w:val="none" w:sz="0" w:space="0" w:color="auto"/>
          </w:divBdr>
        </w:div>
        <w:div w:id="540558116">
          <w:marLeft w:val="0"/>
          <w:marRight w:val="0"/>
          <w:marTop w:val="0"/>
          <w:marBottom w:val="0"/>
          <w:divBdr>
            <w:top w:val="single" w:sz="2" w:space="3" w:color="FFFFFF"/>
            <w:left w:val="none" w:sz="0" w:space="0" w:color="auto"/>
            <w:bottom w:val="none" w:sz="0" w:space="0" w:color="auto"/>
            <w:right w:val="none" w:sz="0" w:space="0" w:color="auto"/>
          </w:divBdr>
        </w:div>
        <w:div w:id="1695109526">
          <w:marLeft w:val="0"/>
          <w:marRight w:val="0"/>
          <w:marTop w:val="0"/>
          <w:marBottom w:val="0"/>
          <w:divBdr>
            <w:top w:val="single" w:sz="2" w:space="3" w:color="FFFFFF"/>
            <w:left w:val="none" w:sz="0" w:space="0" w:color="auto"/>
            <w:bottom w:val="none" w:sz="0" w:space="0" w:color="auto"/>
            <w:right w:val="none" w:sz="0" w:space="0" w:color="auto"/>
          </w:divBdr>
        </w:div>
        <w:div w:id="334186223">
          <w:marLeft w:val="0"/>
          <w:marRight w:val="0"/>
          <w:marTop w:val="0"/>
          <w:marBottom w:val="0"/>
          <w:divBdr>
            <w:top w:val="single" w:sz="2" w:space="3" w:color="FFFFFF"/>
            <w:left w:val="none" w:sz="0" w:space="0" w:color="auto"/>
            <w:bottom w:val="none" w:sz="0" w:space="0" w:color="auto"/>
            <w:right w:val="none" w:sz="0" w:space="0" w:color="auto"/>
          </w:divBdr>
        </w:div>
        <w:div w:id="1445266349">
          <w:marLeft w:val="0"/>
          <w:marRight w:val="0"/>
          <w:marTop w:val="0"/>
          <w:marBottom w:val="0"/>
          <w:divBdr>
            <w:top w:val="single" w:sz="2" w:space="3" w:color="FFFFFF"/>
            <w:left w:val="none" w:sz="0" w:space="0" w:color="auto"/>
            <w:bottom w:val="none" w:sz="0" w:space="0" w:color="auto"/>
            <w:right w:val="none" w:sz="0" w:space="0" w:color="auto"/>
          </w:divBdr>
        </w:div>
        <w:div w:id="138966001">
          <w:marLeft w:val="0"/>
          <w:marRight w:val="0"/>
          <w:marTop w:val="0"/>
          <w:marBottom w:val="0"/>
          <w:divBdr>
            <w:top w:val="single" w:sz="2" w:space="3" w:color="FFFFFF"/>
            <w:left w:val="none" w:sz="0" w:space="0" w:color="auto"/>
            <w:bottom w:val="none" w:sz="0" w:space="0" w:color="auto"/>
            <w:right w:val="none" w:sz="0" w:space="0" w:color="auto"/>
          </w:divBdr>
        </w:div>
        <w:div w:id="2145924928">
          <w:marLeft w:val="0"/>
          <w:marRight w:val="0"/>
          <w:marTop w:val="0"/>
          <w:marBottom w:val="0"/>
          <w:divBdr>
            <w:top w:val="single" w:sz="2" w:space="3" w:color="FFFFFF"/>
            <w:left w:val="none" w:sz="0" w:space="0" w:color="auto"/>
            <w:bottom w:val="none" w:sz="0" w:space="0" w:color="auto"/>
            <w:right w:val="none" w:sz="0" w:space="0" w:color="auto"/>
          </w:divBdr>
        </w:div>
        <w:div w:id="746732569">
          <w:marLeft w:val="0"/>
          <w:marRight w:val="0"/>
          <w:marTop w:val="0"/>
          <w:marBottom w:val="0"/>
          <w:divBdr>
            <w:top w:val="single" w:sz="2" w:space="3" w:color="FFFFFF"/>
            <w:left w:val="none" w:sz="0" w:space="0" w:color="auto"/>
            <w:bottom w:val="none" w:sz="0" w:space="0" w:color="auto"/>
            <w:right w:val="none" w:sz="0" w:space="0" w:color="auto"/>
          </w:divBdr>
        </w:div>
        <w:div w:id="709494999">
          <w:marLeft w:val="0"/>
          <w:marRight w:val="0"/>
          <w:marTop w:val="0"/>
          <w:marBottom w:val="0"/>
          <w:divBdr>
            <w:top w:val="single" w:sz="2" w:space="3" w:color="FFFFFF"/>
            <w:left w:val="none" w:sz="0" w:space="0" w:color="auto"/>
            <w:bottom w:val="none" w:sz="0" w:space="0" w:color="auto"/>
            <w:right w:val="none" w:sz="0" w:space="0" w:color="auto"/>
          </w:divBdr>
        </w:div>
        <w:div w:id="968819598">
          <w:marLeft w:val="0"/>
          <w:marRight w:val="0"/>
          <w:marTop w:val="0"/>
          <w:marBottom w:val="0"/>
          <w:divBdr>
            <w:top w:val="single" w:sz="2" w:space="3" w:color="FFFFFF"/>
            <w:left w:val="none" w:sz="0" w:space="0" w:color="auto"/>
            <w:bottom w:val="none" w:sz="0" w:space="0" w:color="auto"/>
            <w:right w:val="none" w:sz="0" w:space="0" w:color="auto"/>
          </w:divBdr>
        </w:div>
        <w:div w:id="1585142094">
          <w:marLeft w:val="0"/>
          <w:marRight w:val="0"/>
          <w:marTop w:val="0"/>
          <w:marBottom w:val="0"/>
          <w:divBdr>
            <w:top w:val="single" w:sz="2" w:space="3" w:color="FFFFFF"/>
            <w:left w:val="none" w:sz="0" w:space="0" w:color="auto"/>
            <w:bottom w:val="none" w:sz="0" w:space="0" w:color="auto"/>
            <w:right w:val="none" w:sz="0" w:space="0" w:color="auto"/>
          </w:divBdr>
        </w:div>
        <w:div w:id="615412302">
          <w:marLeft w:val="0"/>
          <w:marRight w:val="0"/>
          <w:marTop w:val="0"/>
          <w:marBottom w:val="0"/>
          <w:divBdr>
            <w:top w:val="single" w:sz="2" w:space="3" w:color="FFFFFF"/>
            <w:left w:val="none" w:sz="0" w:space="0" w:color="auto"/>
            <w:bottom w:val="none" w:sz="0" w:space="0" w:color="auto"/>
            <w:right w:val="none" w:sz="0" w:space="0" w:color="auto"/>
          </w:divBdr>
        </w:div>
        <w:div w:id="1270507591">
          <w:marLeft w:val="0"/>
          <w:marRight w:val="0"/>
          <w:marTop w:val="0"/>
          <w:marBottom w:val="0"/>
          <w:divBdr>
            <w:top w:val="single" w:sz="2" w:space="3" w:color="FFFFFF"/>
            <w:left w:val="none" w:sz="0" w:space="0" w:color="auto"/>
            <w:bottom w:val="none" w:sz="0" w:space="0" w:color="auto"/>
            <w:right w:val="none" w:sz="0" w:space="0" w:color="auto"/>
          </w:divBdr>
        </w:div>
        <w:div w:id="305823458">
          <w:marLeft w:val="0"/>
          <w:marRight w:val="0"/>
          <w:marTop w:val="0"/>
          <w:marBottom w:val="0"/>
          <w:divBdr>
            <w:top w:val="single" w:sz="2" w:space="3" w:color="FFFFFF"/>
            <w:left w:val="none" w:sz="0" w:space="0" w:color="auto"/>
            <w:bottom w:val="none" w:sz="0" w:space="0" w:color="auto"/>
            <w:right w:val="none" w:sz="0" w:space="0" w:color="auto"/>
          </w:divBdr>
        </w:div>
        <w:div w:id="1126193022">
          <w:marLeft w:val="0"/>
          <w:marRight w:val="0"/>
          <w:marTop w:val="0"/>
          <w:marBottom w:val="0"/>
          <w:divBdr>
            <w:top w:val="single" w:sz="2" w:space="3" w:color="FFFFFF"/>
            <w:left w:val="none" w:sz="0" w:space="0" w:color="auto"/>
            <w:bottom w:val="none" w:sz="0" w:space="0" w:color="auto"/>
            <w:right w:val="none" w:sz="0" w:space="0" w:color="auto"/>
          </w:divBdr>
        </w:div>
        <w:div w:id="232201668">
          <w:marLeft w:val="0"/>
          <w:marRight w:val="0"/>
          <w:marTop w:val="0"/>
          <w:marBottom w:val="0"/>
          <w:divBdr>
            <w:top w:val="single" w:sz="2" w:space="3" w:color="FFFFFF"/>
            <w:left w:val="none" w:sz="0" w:space="0" w:color="auto"/>
            <w:bottom w:val="none" w:sz="0" w:space="0" w:color="auto"/>
            <w:right w:val="none" w:sz="0" w:space="0" w:color="auto"/>
          </w:divBdr>
        </w:div>
        <w:div w:id="1937908153">
          <w:marLeft w:val="0"/>
          <w:marRight w:val="0"/>
          <w:marTop w:val="0"/>
          <w:marBottom w:val="0"/>
          <w:divBdr>
            <w:top w:val="single" w:sz="2" w:space="3" w:color="FFFFFF"/>
            <w:left w:val="none" w:sz="0" w:space="0" w:color="auto"/>
            <w:bottom w:val="none" w:sz="0" w:space="0" w:color="auto"/>
            <w:right w:val="none" w:sz="0" w:space="0" w:color="auto"/>
          </w:divBdr>
        </w:div>
        <w:div w:id="1296059893">
          <w:marLeft w:val="0"/>
          <w:marRight w:val="0"/>
          <w:marTop w:val="0"/>
          <w:marBottom w:val="0"/>
          <w:divBdr>
            <w:top w:val="single" w:sz="2" w:space="3" w:color="FFFFFF"/>
            <w:left w:val="none" w:sz="0" w:space="0" w:color="auto"/>
            <w:bottom w:val="none" w:sz="0" w:space="0" w:color="auto"/>
            <w:right w:val="none" w:sz="0" w:space="0" w:color="auto"/>
          </w:divBdr>
        </w:div>
        <w:div w:id="1532569026">
          <w:marLeft w:val="0"/>
          <w:marRight w:val="0"/>
          <w:marTop w:val="0"/>
          <w:marBottom w:val="0"/>
          <w:divBdr>
            <w:top w:val="single" w:sz="2" w:space="3" w:color="FFFFFF"/>
            <w:left w:val="none" w:sz="0" w:space="0" w:color="auto"/>
            <w:bottom w:val="none" w:sz="0" w:space="0" w:color="auto"/>
            <w:right w:val="none" w:sz="0" w:space="0" w:color="auto"/>
          </w:divBdr>
        </w:div>
        <w:div w:id="547423383">
          <w:marLeft w:val="0"/>
          <w:marRight w:val="0"/>
          <w:marTop w:val="0"/>
          <w:marBottom w:val="0"/>
          <w:divBdr>
            <w:top w:val="single" w:sz="2" w:space="3" w:color="FFFFFF"/>
            <w:left w:val="none" w:sz="0" w:space="0" w:color="auto"/>
            <w:bottom w:val="none" w:sz="0" w:space="0" w:color="auto"/>
            <w:right w:val="none" w:sz="0" w:space="0" w:color="auto"/>
          </w:divBdr>
        </w:div>
        <w:div w:id="276370286">
          <w:marLeft w:val="0"/>
          <w:marRight w:val="0"/>
          <w:marTop w:val="0"/>
          <w:marBottom w:val="0"/>
          <w:divBdr>
            <w:top w:val="single" w:sz="2" w:space="3" w:color="FFFFFF"/>
            <w:left w:val="none" w:sz="0" w:space="0" w:color="auto"/>
            <w:bottom w:val="none" w:sz="0" w:space="0" w:color="auto"/>
            <w:right w:val="none" w:sz="0" w:space="0" w:color="auto"/>
          </w:divBdr>
        </w:div>
        <w:div w:id="1572421618">
          <w:marLeft w:val="0"/>
          <w:marRight w:val="0"/>
          <w:marTop w:val="0"/>
          <w:marBottom w:val="0"/>
          <w:divBdr>
            <w:top w:val="single" w:sz="2" w:space="3" w:color="FFFFFF"/>
            <w:left w:val="none" w:sz="0" w:space="0" w:color="auto"/>
            <w:bottom w:val="none" w:sz="0" w:space="0" w:color="auto"/>
            <w:right w:val="none" w:sz="0" w:space="0" w:color="auto"/>
          </w:divBdr>
        </w:div>
        <w:div w:id="868295381">
          <w:marLeft w:val="0"/>
          <w:marRight w:val="0"/>
          <w:marTop w:val="0"/>
          <w:marBottom w:val="0"/>
          <w:divBdr>
            <w:top w:val="single" w:sz="2" w:space="3" w:color="FFFFFF"/>
            <w:left w:val="none" w:sz="0" w:space="0" w:color="auto"/>
            <w:bottom w:val="none" w:sz="0" w:space="0" w:color="auto"/>
            <w:right w:val="none" w:sz="0" w:space="0" w:color="auto"/>
          </w:divBdr>
        </w:div>
        <w:div w:id="1684699776">
          <w:marLeft w:val="0"/>
          <w:marRight w:val="0"/>
          <w:marTop w:val="0"/>
          <w:marBottom w:val="0"/>
          <w:divBdr>
            <w:top w:val="single" w:sz="2" w:space="3" w:color="FFFFFF"/>
            <w:left w:val="none" w:sz="0" w:space="0" w:color="auto"/>
            <w:bottom w:val="none" w:sz="0" w:space="0" w:color="auto"/>
            <w:right w:val="none" w:sz="0" w:space="0" w:color="auto"/>
          </w:divBdr>
        </w:div>
        <w:div w:id="626739111">
          <w:marLeft w:val="0"/>
          <w:marRight w:val="0"/>
          <w:marTop w:val="0"/>
          <w:marBottom w:val="0"/>
          <w:divBdr>
            <w:top w:val="single" w:sz="2" w:space="3" w:color="FFFFFF"/>
            <w:left w:val="none" w:sz="0" w:space="0" w:color="auto"/>
            <w:bottom w:val="none" w:sz="0" w:space="0" w:color="auto"/>
            <w:right w:val="none" w:sz="0" w:space="0" w:color="auto"/>
          </w:divBdr>
        </w:div>
        <w:div w:id="1830827518">
          <w:marLeft w:val="0"/>
          <w:marRight w:val="0"/>
          <w:marTop w:val="0"/>
          <w:marBottom w:val="0"/>
          <w:divBdr>
            <w:top w:val="single" w:sz="2" w:space="3" w:color="FFFFFF"/>
            <w:left w:val="none" w:sz="0" w:space="0" w:color="auto"/>
            <w:bottom w:val="none" w:sz="0" w:space="0" w:color="auto"/>
            <w:right w:val="none" w:sz="0" w:space="0" w:color="auto"/>
          </w:divBdr>
        </w:div>
        <w:div w:id="1521702748">
          <w:marLeft w:val="0"/>
          <w:marRight w:val="0"/>
          <w:marTop w:val="0"/>
          <w:marBottom w:val="0"/>
          <w:divBdr>
            <w:top w:val="single" w:sz="2" w:space="3" w:color="FFFFFF"/>
            <w:left w:val="none" w:sz="0" w:space="0" w:color="auto"/>
            <w:bottom w:val="none" w:sz="0" w:space="0" w:color="auto"/>
            <w:right w:val="none" w:sz="0" w:space="0" w:color="auto"/>
          </w:divBdr>
        </w:div>
        <w:div w:id="194855894">
          <w:marLeft w:val="0"/>
          <w:marRight w:val="0"/>
          <w:marTop w:val="0"/>
          <w:marBottom w:val="0"/>
          <w:divBdr>
            <w:top w:val="single" w:sz="2" w:space="3" w:color="FFFFFF"/>
            <w:left w:val="none" w:sz="0" w:space="0" w:color="auto"/>
            <w:bottom w:val="none" w:sz="0" w:space="0" w:color="auto"/>
            <w:right w:val="none" w:sz="0" w:space="0" w:color="auto"/>
          </w:divBdr>
        </w:div>
        <w:div w:id="3167231">
          <w:marLeft w:val="0"/>
          <w:marRight w:val="0"/>
          <w:marTop w:val="0"/>
          <w:marBottom w:val="0"/>
          <w:divBdr>
            <w:top w:val="single" w:sz="2" w:space="3" w:color="FFFFFF"/>
            <w:left w:val="none" w:sz="0" w:space="0" w:color="auto"/>
            <w:bottom w:val="none" w:sz="0" w:space="0" w:color="auto"/>
            <w:right w:val="none" w:sz="0" w:space="0" w:color="auto"/>
          </w:divBdr>
        </w:div>
        <w:div w:id="114638228">
          <w:marLeft w:val="0"/>
          <w:marRight w:val="0"/>
          <w:marTop w:val="0"/>
          <w:marBottom w:val="0"/>
          <w:divBdr>
            <w:top w:val="single" w:sz="2" w:space="3" w:color="FFFFFF"/>
            <w:left w:val="none" w:sz="0" w:space="0" w:color="auto"/>
            <w:bottom w:val="none" w:sz="0" w:space="0" w:color="auto"/>
            <w:right w:val="none" w:sz="0" w:space="0" w:color="auto"/>
          </w:divBdr>
        </w:div>
        <w:div w:id="2024281536">
          <w:marLeft w:val="0"/>
          <w:marRight w:val="0"/>
          <w:marTop w:val="0"/>
          <w:marBottom w:val="0"/>
          <w:divBdr>
            <w:top w:val="single" w:sz="2" w:space="3" w:color="FFFFFF"/>
            <w:left w:val="none" w:sz="0" w:space="0" w:color="auto"/>
            <w:bottom w:val="none" w:sz="0" w:space="0" w:color="auto"/>
            <w:right w:val="none" w:sz="0" w:space="0" w:color="auto"/>
          </w:divBdr>
        </w:div>
        <w:div w:id="1843350664">
          <w:marLeft w:val="0"/>
          <w:marRight w:val="0"/>
          <w:marTop w:val="0"/>
          <w:marBottom w:val="0"/>
          <w:divBdr>
            <w:top w:val="single" w:sz="2" w:space="3" w:color="FFFFFF"/>
            <w:left w:val="none" w:sz="0" w:space="0" w:color="auto"/>
            <w:bottom w:val="none" w:sz="0" w:space="0" w:color="auto"/>
            <w:right w:val="none" w:sz="0" w:space="0" w:color="auto"/>
          </w:divBdr>
        </w:div>
        <w:div w:id="793402607">
          <w:marLeft w:val="0"/>
          <w:marRight w:val="0"/>
          <w:marTop w:val="0"/>
          <w:marBottom w:val="0"/>
          <w:divBdr>
            <w:top w:val="single" w:sz="2" w:space="3" w:color="FFFFFF"/>
            <w:left w:val="none" w:sz="0" w:space="0" w:color="auto"/>
            <w:bottom w:val="none" w:sz="0" w:space="0" w:color="auto"/>
            <w:right w:val="none" w:sz="0" w:space="0" w:color="auto"/>
          </w:divBdr>
        </w:div>
        <w:div w:id="1854221707">
          <w:marLeft w:val="0"/>
          <w:marRight w:val="0"/>
          <w:marTop w:val="0"/>
          <w:marBottom w:val="0"/>
          <w:divBdr>
            <w:top w:val="single" w:sz="2" w:space="3" w:color="FFFFFF"/>
            <w:left w:val="none" w:sz="0" w:space="0" w:color="auto"/>
            <w:bottom w:val="none" w:sz="0" w:space="0" w:color="auto"/>
            <w:right w:val="none" w:sz="0" w:space="0" w:color="auto"/>
          </w:divBdr>
        </w:div>
        <w:div w:id="1339696658">
          <w:marLeft w:val="0"/>
          <w:marRight w:val="0"/>
          <w:marTop w:val="0"/>
          <w:marBottom w:val="0"/>
          <w:divBdr>
            <w:top w:val="single" w:sz="2" w:space="3" w:color="FFFFFF"/>
            <w:left w:val="none" w:sz="0" w:space="0" w:color="auto"/>
            <w:bottom w:val="none" w:sz="0" w:space="0" w:color="auto"/>
            <w:right w:val="none" w:sz="0" w:space="0" w:color="auto"/>
          </w:divBdr>
        </w:div>
        <w:div w:id="453209876">
          <w:marLeft w:val="0"/>
          <w:marRight w:val="0"/>
          <w:marTop w:val="0"/>
          <w:marBottom w:val="0"/>
          <w:divBdr>
            <w:top w:val="single" w:sz="2" w:space="3" w:color="FFFFFF"/>
            <w:left w:val="none" w:sz="0" w:space="0" w:color="auto"/>
            <w:bottom w:val="none" w:sz="0" w:space="0" w:color="auto"/>
            <w:right w:val="none" w:sz="0" w:space="0" w:color="auto"/>
          </w:divBdr>
        </w:div>
        <w:div w:id="1835992287">
          <w:marLeft w:val="0"/>
          <w:marRight w:val="0"/>
          <w:marTop w:val="0"/>
          <w:marBottom w:val="0"/>
          <w:divBdr>
            <w:top w:val="single" w:sz="2" w:space="3" w:color="FFFFFF"/>
            <w:left w:val="none" w:sz="0" w:space="0" w:color="auto"/>
            <w:bottom w:val="none" w:sz="0" w:space="0" w:color="auto"/>
            <w:right w:val="none" w:sz="0" w:space="0" w:color="auto"/>
          </w:divBdr>
        </w:div>
        <w:div w:id="1559632417">
          <w:marLeft w:val="0"/>
          <w:marRight w:val="0"/>
          <w:marTop w:val="0"/>
          <w:marBottom w:val="0"/>
          <w:divBdr>
            <w:top w:val="single" w:sz="2" w:space="3" w:color="FFFFFF"/>
            <w:left w:val="none" w:sz="0" w:space="0" w:color="auto"/>
            <w:bottom w:val="none" w:sz="0" w:space="0" w:color="auto"/>
            <w:right w:val="none" w:sz="0" w:space="0" w:color="auto"/>
          </w:divBdr>
        </w:div>
        <w:div w:id="1720398698">
          <w:marLeft w:val="0"/>
          <w:marRight w:val="0"/>
          <w:marTop w:val="0"/>
          <w:marBottom w:val="0"/>
          <w:divBdr>
            <w:top w:val="single" w:sz="2" w:space="3" w:color="FFFFFF"/>
            <w:left w:val="none" w:sz="0" w:space="0" w:color="auto"/>
            <w:bottom w:val="none" w:sz="0" w:space="0" w:color="auto"/>
            <w:right w:val="none" w:sz="0" w:space="0" w:color="auto"/>
          </w:divBdr>
        </w:div>
        <w:div w:id="176818099">
          <w:marLeft w:val="0"/>
          <w:marRight w:val="0"/>
          <w:marTop w:val="0"/>
          <w:marBottom w:val="0"/>
          <w:divBdr>
            <w:top w:val="single" w:sz="2" w:space="3" w:color="FFFFFF"/>
            <w:left w:val="none" w:sz="0" w:space="0" w:color="auto"/>
            <w:bottom w:val="none" w:sz="0" w:space="0" w:color="auto"/>
            <w:right w:val="none" w:sz="0" w:space="0" w:color="auto"/>
          </w:divBdr>
        </w:div>
        <w:div w:id="1922568173">
          <w:marLeft w:val="0"/>
          <w:marRight w:val="0"/>
          <w:marTop w:val="0"/>
          <w:marBottom w:val="0"/>
          <w:divBdr>
            <w:top w:val="single" w:sz="2" w:space="3" w:color="FFFFFF"/>
            <w:left w:val="none" w:sz="0" w:space="0" w:color="auto"/>
            <w:bottom w:val="none" w:sz="0" w:space="0" w:color="auto"/>
            <w:right w:val="none" w:sz="0" w:space="0" w:color="auto"/>
          </w:divBdr>
        </w:div>
        <w:div w:id="2111585207">
          <w:marLeft w:val="0"/>
          <w:marRight w:val="0"/>
          <w:marTop w:val="0"/>
          <w:marBottom w:val="0"/>
          <w:divBdr>
            <w:top w:val="single" w:sz="2" w:space="3" w:color="FFFFFF"/>
            <w:left w:val="none" w:sz="0" w:space="0" w:color="auto"/>
            <w:bottom w:val="none" w:sz="0" w:space="0" w:color="auto"/>
            <w:right w:val="none" w:sz="0" w:space="0" w:color="auto"/>
          </w:divBdr>
        </w:div>
        <w:div w:id="2030183214">
          <w:marLeft w:val="0"/>
          <w:marRight w:val="0"/>
          <w:marTop w:val="0"/>
          <w:marBottom w:val="0"/>
          <w:divBdr>
            <w:top w:val="single" w:sz="2" w:space="3" w:color="FFFFFF"/>
            <w:left w:val="none" w:sz="0" w:space="0" w:color="auto"/>
            <w:bottom w:val="none" w:sz="0" w:space="0" w:color="auto"/>
            <w:right w:val="none" w:sz="0" w:space="0" w:color="auto"/>
          </w:divBdr>
        </w:div>
        <w:div w:id="1024482641">
          <w:marLeft w:val="0"/>
          <w:marRight w:val="0"/>
          <w:marTop w:val="0"/>
          <w:marBottom w:val="0"/>
          <w:divBdr>
            <w:top w:val="single" w:sz="2" w:space="3" w:color="FFFFFF"/>
            <w:left w:val="none" w:sz="0" w:space="0" w:color="auto"/>
            <w:bottom w:val="none" w:sz="0" w:space="0" w:color="auto"/>
            <w:right w:val="none" w:sz="0" w:space="0" w:color="auto"/>
          </w:divBdr>
        </w:div>
        <w:div w:id="2123258781">
          <w:marLeft w:val="0"/>
          <w:marRight w:val="0"/>
          <w:marTop w:val="0"/>
          <w:marBottom w:val="0"/>
          <w:divBdr>
            <w:top w:val="single" w:sz="2" w:space="3" w:color="FFFFFF"/>
            <w:left w:val="none" w:sz="0" w:space="0" w:color="auto"/>
            <w:bottom w:val="none" w:sz="0" w:space="0" w:color="auto"/>
            <w:right w:val="none" w:sz="0" w:space="0" w:color="auto"/>
          </w:divBdr>
        </w:div>
        <w:div w:id="657923742">
          <w:marLeft w:val="0"/>
          <w:marRight w:val="0"/>
          <w:marTop w:val="0"/>
          <w:marBottom w:val="0"/>
          <w:divBdr>
            <w:top w:val="single" w:sz="2" w:space="3" w:color="FFFFFF"/>
            <w:left w:val="none" w:sz="0" w:space="0" w:color="auto"/>
            <w:bottom w:val="none" w:sz="0" w:space="0" w:color="auto"/>
            <w:right w:val="none" w:sz="0" w:space="0" w:color="auto"/>
          </w:divBdr>
        </w:div>
        <w:div w:id="783696240">
          <w:marLeft w:val="0"/>
          <w:marRight w:val="0"/>
          <w:marTop w:val="0"/>
          <w:marBottom w:val="0"/>
          <w:divBdr>
            <w:top w:val="single" w:sz="2" w:space="3" w:color="FFFFFF"/>
            <w:left w:val="none" w:sz="0" w:space="0" w:color="auto"/>
            <w:bottom w:val="none" w:sz="0" w:space="0" w:color="auto"/>
            <w:right w:val="none" w:sz="0" w:space="0" w:color="auto"/>
          </w:divBdr>
        </w:div>
        <w:div w:id="2043627336">
          <w:marLeft w:val="0"/>
          <w:marRight w:val="0"/>
          <w:marTop w:val="0"/>
          <w:marBottom w:val="0"/>
          <w:divBdr>
            <w:top w:val="single" w:sz="2" w:space="3" w:color="FFFFFF"/>
            <w:left w:val="none" w:sz="0" w:space="0" w:color="auto"/>
            <w:bottom w:val="none" w:sz="0" w:space="0" w:color="auto"/>
            <w:right w:val="none" w:sz="0" w:space="0" w:color="auto"/>
          </w:divBdr>
        </w:div>
        <w:div w:id="665667821">
          <w:marLeft w:val="0"/>
          <w:marRight w:val="0"/>
          <w:marTop w:val="0"/>
          <w:marBottom w:val="0"/>
          <w:divBdr>
            <w:top w:val="single" w:sz="2" w:space="3" w:color="FFFFFF"/>
            <w:left w:val="none" w:sz="0" w:space="0" w:color="auto"/>
            <w:bottom w:val="none" w:sz="0" w:space="0" w:color="auto"/>
            <w:right w:val="none" w:sz="0" w:space="0" w:color="auto"/>
          </w:divBdr>
        </w:div>
        <w:div w:id="1319532596">
          <w:marLeft w:val="0"/>
          <w:marRight w:val="0"/>
          <w:marTop w:val="0"/>
          <w:marBottom w:val="0"/>
          <w:divBdr>
            <w:top w:val="single" w:sz="2" w:space="3" w:color="FFFFFF"/>
            <w:left w:val="none" w:sz="0" w:space="0" w:color="auto"/>
            <w:bottom w:val="none" w:sz="0" w:space="0" w:color="auto"/>
            <w:right w:val="none" w:sz="0" w:space="0" w:color="auto"/>
          </w:divBdr>
        </w:div>
        <w:div w:id="418526135">
          <w:marLeft w:val="0"/>
          <w:marRight w:val="0"/>
          <w:marTop w:val="0"/>
          <w:marBottom w:val="0"/>
          <w:divBdr>
            <w:top w:val="single" w:sz="2" w:space="3" w:color="FFFFFF"/>
            <w:left w:val="none" w:sz="0" w:space="0" w:color="auto"/>
            <w:bottom w:val="none" w:sz="0" w:space="0" w:color="auto"/>
            <w:right w:val="none" w:sz="0" w:space="0" w:color="auto"/>
          </w:divBdr>
        </w:div>
        <w:div w:id="252857007">
          <w:marLeft w:val="0"/>
          <w:marRight w:val="0"/>
          <w:marTop w:val="0"/>
          <w:marBottom w:val="0"/>
          <w:divBdr>
            <w:top w:val="single" w:sz="2" w:space="3" w:color="FFFFFF"/>
            <w:left w:val="none" w:sz="0" w:space="0" w:color="auto"/>
            <w:bottom w:val="none" w:sz="0" w:space="0" w:color="auto"/>
            <w:right w:val="none" w:sz="0" w:space="0" w:color="auto"/>
          </w:divBdr>
        </w:div>
        <w:div w:id="656692441">
          <w:marLeft w:val="0"/>
          <w:marRight w:val="0"/>
          <w:marTop w:val="0"/>
          <w:marBottom w:val="0"/>
          <w:divBdr>
            <w:top w:val="single" w:sz="2" w:space="3" w:color="FFFFFF"/>
            <w:left w:val="none" w:sz="0" w:space="0" w:color="auto"/>
            <w:bottom w:val="none" w:sz="0" w:space="0" w:color="auto"/>
            <w:right w:val="none" w:sz="0" w:space="0" w:color="auto"/>
          </w:divBdr>
        </w:div>
        <w:div w:id="573930424">
          <w:marLeft w:val="0"/>
          <w:marRight w:val="0"/>
          <w:marTop w:val="0"/>
          <w:marBottom w:val="0"/>
          <w:divBdr>
            <w:top w:val="single" w:sz="2" w:space="3" w:color="FFFFFF"/>
            <w:left w:val="none" w:sz="0" w:space="0" w:color="auto"/>
            <w:bottom w:val="none" w:sz="0" w:space="0" w:color="auto"/>
            <w:right w:val="none" w:sz="0" w:space="0" w:color="auto"/>
          </w:divBdr>
        </w:div>
        <w:div w:id="1704136582">
          <w:marLeft w:val="0"/>
          <w:marRight w:val="0"/>
          <w:marTop w:val="0"/>
          <w:marBottom w:val="0"/>
          <w:divBdr>
            <w:top w:val="single" w:sz="2" w:space="3" w:color="FFFFFF"/>
            <w:left w:val="none" w:sz="0" w:space="0" w:color="auto"/>
            <w:bottom w:val="none" w:sz="0" w:space="0" w:color="auto"/>
            <w:right w:val="none" w:sz="0" w:space="0" w:color="auto"/>
          </w:divBdr>
        </w:div>
        <w:div w:id="340475665">
          <w:marLeft w:val="0"/>
          <w:marRight w:val="0"/>
          <w:marTop w:val="0"/>
          <w:marBottom w:val="0"/>
          <w:divBdr>
            <w:top w:val="single" w:sz="2" w:space="3" w:color="FFFFFF"/>
            <w:left w:val="none" w:sz="0" w:space="0" w:color="auto"/>
            <w:bottom w:val="none" w:sz="0" w:space="0" w:color="auto"/>
            <w:right w:val="none" w:sz="0" w:space="0" w:color="auto"/>
          </w:divBdr>
        </w:div>
        <w:div w:id="140850071">
          <w:marLeft w:val="0"/>
          <w:marRight w:val="0"/>
          <w:marTop w:val="0"/>
          <w:marBottom w:val="0"/>
          <w:divBdr>
            <w:top w:val="single" w:sz="2" w:space="3" w:color="FFFFFF"/>
            <w:left w:val="none" w:sz="0" w:space="0" w:color="auto"/>
            <w:bottom w:val="none" w:sz="0" w:space="0" w:color="auto"/>
            <w:right w:val="none" w:sz="0" w:space="0" w:color="auto"/>
          </w:divBdr>
        </w:div>
        <w:div w:id="1030255858">
          <w:marLeft w:val="0"/>
          <w:marRight w:val="0"/>
          <w:marTop w:val="0"/>
          <w:marBottom w:val="0"/>
          <w:divBdr>
            <w:top w:val="single" w:sz="2" w:space="3" w:color="FFFFFF"/>
            <w:left w:val="none" w:sz="0" w:space="0" w:color="auto"/>
            <w:bottom w:val="none" w:sz="0" w:space="0" w:color="auto"/>
            <w:right w:val="none" w:sz="0" w:space="0" w:color="auto"/>
          </w:divBdr>
        </w:div>
        <w:div w:id="512688568">
          <w:marLeft w:val="0"/>
          <w:marRight w:val="0"/>
          <w:marTop w:val="0"/>
          <w:marBottom w:val="0"/>
          <w:divBdr>
            <w:top w:val="single" w:sz="2" w:space="3" w:color="FFFFFF"/>
            <w:left w:val="none" w:sz="0" w:space="0" w:color="auto"/>
            <w:bottom w:val="none" w:sz="0" w:space="0" w:color="auto"/>
            <w:right w:val="none" w:sz="0" w:space="0" w:color="auto"/>
          </w:divBdr>
        </w:div>
        <w:div w:id="1824926024">
          <w:marLeft w:val="0"/>
          <w:marRight w:val="0"/>
          <w:marTop w:val="0"/>
          <w:marBottom w:val="0"/>
          <w:divBdr>
            <w:top w:val="single" w:sz="2" w:space="3" w:color="FFFFFF"/>
            <w:left w:val="none" w:sz="0" w:space="0" w:color="auto"/>
            <w:bottom w:val="none" w:sz="0" w:space="0" w:color="auto"/>
            <w:right w:val="none" w:sz="0" w:space="0" w:color="auto"/>
          </w:divBdr>
        </w:div>
        <w:div w:id="1029138047">
          <w:marLeft w:val="0"/>
          <w:marRight w:val="0"/>
          <w:marTop w:val="0"/>
          <w:marBottom w:val="0"/>
          <w:divBdr>
            <w:top w:val="single" w:sz="2" w:space="3" w:color="FFFFFF"/>
            <w:left w:val="none" w:sz="0" w:space="0" w:color="auto"/>
            <w:bottom w:val="none" w:sz="0" w:space="0" w:color="auto"/>
            <w:right w:val="none" w:sz="0" w:space="0" w:color="auto"/>
          </w:divBdr>
        </w:div>
        <w:div w:id="776216346">
          <w:marLeft w:val="0"/>
          <w:marRight w:val="0"/>
          <w:marTop w:val="0"/>
          <w:marBottom w:val="0"/>
          <w:divBdr>
            <w:top w:val="single" w:sz="2" w:space="3" w:color="FFFFFF"/>
            <w:left w:val="none" w:sz="0" w:space="0" w:color="auto"/>
            <w:bottom w:val="none" w:sz="0" w:space="0" w:color="auto"/>
            <w:right w:val="none" w:sz="0" w:space="0" w:color="auto"/>
          </w:divBdr>
        </w:div>
        <w:div w:id="1188300062">
          <w:marLeft w:val="0"/>
          <w:marRight w:val="0"/>
          <w:marTop w:val="0"/>
          <w:marBottom w:val="0"/>
          <w:divBdr>
            <w:top w:val="single" w:sz="2" w:space="3" w:color="FFFFFF"/>
            <w:left w:val="none" w:sz="0" w:space="0" w:color="auto"/>
            <w:bottom w:val="none" w:sz="0" w:space="0" w:color="auto"/>
            <w:right w:val="none" w:sz="0" w:space="0" w:color="auto"/>
          </w:divBdr>
        </w:div>
        <w:div w:id="1383752338">
          <w:marLeft w:val="0"/>
          <w:marRight w:val="0"/>
          <w:marTop w:val="0"/>
          <w:marBottom w:val="0"/>
          <w:divBdr>
            <w:top w:val="single" w:sz="2" w:space="3" w:color="FFFFFF"/>
            <w:left w:val="none" w:sz="0" w:space="0" w:color="auto"/>
            <w:bottom w:val="none" w:sz="0" w:space="0" w:color="auto"/>
            <w:right w:val="none" w:sz="0" w:space="0" w:color="auto"/>
          </w:divBdr>
        </w:div>
        <w:div w:id="261226596">
          <w:marLeft w:val="0"/>
          <w:marRight w:val="0"/>
          <w:marTop w:val="0"/>
          <w:marBottom w:val="0"/>
          <w:divBdr>
            <w:top w:val="single" w:sz="2" w:space="3" w:color="FFFFFF"/>
            <w:left w:val="none" w:sz="0" w:space="0" w:color="auto"/>
            <w:bottom w:val="none" w:sz="0" w:space="0" w:color="auto"/>
            <w:right w:val="none" w:sz="0" w:space="0" w:color="auto"/>
          </w:divBdr>
        </w:div>
        <w:div w:id="83769232">
          <w:marLeft w:val="0"/>
          <w:marRight w:val="0"/>
          <w:marTop w:val="0"/>
          <w:marBottom w:val="0"/>
          <w:divBdr>
            <w:top w:val="single" w:sz="2" w:space="3" w:color="FFFFFF"/>
            <w:left w:val="none" w:sz="0" w:space="0" w:color="auto"/>
            <w:bottom w:val="none" w:sz="0" w:space="0" w:color="auto"/>
            <w:right w:val="none" w:sz="0" w:space="0" w:color="auto"/>
          </w:divBdr>
        </w:div>
        <w:div w:id="409741970">
          <w:marLeft w:val="0"/>
          <w:marRight w:val="0"/>
          <w:marTop w:val="0"/>
          <w:marBottom w:val="0"/>
          <w:divBdr>
            <w:top w:val="single" w:sz="2" w:space="3" w:color="FFFFFF"/>
            <w:left w:val="none" w:sz="0" w:space="0" w:color="auto"/>
            <w:bottom w:val="none" w:sz="0" w:space="0" w:color="auto"/>
            <w:right w:val="none" w:sz="0" w:space="0" w:color="auto"/>
          </w:divBdr>
        </w:div>
        <w:div w:id="1207644760">
          <w:marLeft w:val="0"/>
          <w:marRight w:val="0"/>
          <w:marTop w:val="0"/>
          <w:marBottom w:val="0"/>
          <w:divBdr>
            <w:top w:val="single" w:sz="2" w:space="3" w:color="FFFFFF"/>
            <w:left w:val="none" w:sz="0" w:space="0" w:color="auto"/>
            <w:bottom w:val="none" w:sz="0" w:space="0" w:color="auto"/>
            <w:right w:val="none" w:sz="0" w:space="0" w:color="auto"/>
          </w:divBdr>
        </w:div>
        <w:div w:id="2058553136">
          <w:marLeft w:val="0"/>
          <w:marRight w:val="0"/>
          <w:marTop w:val="0"/>
          <w:marBottom w:val="0"/>
          <w:divBdr>
            <w:top w:val="single" w:sz="2" w:space="3" w:color="FFFFFF"/>
            <w:left w:val="none" w:sz="0" w:space="0" w:color="auto"/>
            <w:bottom w:val="none" w:sz="0" w:space="0" w:color="auto"/>
            <w:right w:val="none" w:sz="0" w:space="0" w:color="auto"/>
          </w:divBdr>
        </w:div>
        <w:div w:id="1108281010">
          <w:marLeft w:val="0"/>
          <w:marRight w:val="0"/>
          <w:marTop w:val="0"/>
          <w:marBottom w:val="0"/>
          <w:divBdr>
            <w:top w:val="single" w:sz="2" w:space="3" w:color="FFFFFF"/>
            <w:left w:val="none" w:sz="0" w:space="0" w:color="auto"/>
            <w:bottom w:val="none" w:sz="0" w:space="0" w:color="auto"/>
            <w:right w:val="none" w:sz="0" w:space="0" w:color="auto"/>
          </w:divBdr>
        </w:div>
        <w:div w:id="1598293679">
          <w:marLeft w:val="0"/>
          <w:marRight w:val="0"/>
          <w:marTop w:val="0"/>
          <w:marBottom w:val="0"/>
          <w:divBdr>
            <w:top w:val="single" w:sz="2" w:space="3" w:color="FFFFFF"/>
            <w:left w:val="none" w:sz="0" w:space="0" w:color="auto"/>
            <w:bottom w:val="none" w:sz="0" w:space="0" w:color="auto"/>
            <w:right w:val="none" w:sz="0" w:space="0" w:color="auto"/>
          </w:divBdr>
        </w:div>
        <w:div w:id="1799955356">
          <w:marLeft w:val="0"/>
          <w:marRight w:val="0"/>
          <w:marTop w:val="0"/>
          <w:marBottom w:val="0"/>
          <w:divBdr>
            <w:top w:val="single" w:sz="2" w:space="3" w:color="FFFFFF"/>
            <w:left w:val="none" w:sz="0" w:space="0" w:color="auto"/>
            <w:bottom w:val="none" w:sz="0" w:space="0" w:color="auto"/>
            <w:right w:val="none" w:sz="0" w:space="0" w:color="auto"/>
          </w:divBdr>
        </w:div>
        <w:div w:id="605577518">
          <w:marLeft w:val="0"/>
          <w:marRight w:val="0"/>
          <w:marTop w:val="0"/>
          <w:marBottom w:val="0"/>
          <w:divBdr>
            <w:top w:val="single" w:sz="2" w:space="3" w:color="FFFFFF"/>
            <w:left w:val="none" w:sz="0" w:space="0" w:color="auto"/>
            <w:bottom w:val="none" w:sz="0" w:space="0" w:color="auto"/>
            <w:right w:val="none" w:sz="0" w:space="0" w:color="auto"/>
          </w:divBdr>
        </w:div>
        <w:div w:id="904946770">
          <w:marLeft w:val="0"/>
          <w:marRight w:val="0"/>
          <w:marTop w:val="0"/>
          <w:marBottom w:val="0"/>
          <w:divBdr>
            <w:top w:val="single" w:sz="2" w:space="3" w:color="FFFFFF"/>
            <w:left w:val="none" w:sz="0" w:space="0" w:color="auto"/>
            <w:bottom w:val="none" w:sz="0" w:space="0" w:color="auto"/>
            <w:right w:val="none" w:sz="0" w:space="0" w:color="auto"/>
          </w:divBdr>
        </w:div>
        <w:div w:id="1216236395">
          <w:marLeft w:val="0"/>
          <w:marRight w:val="0"/>
          <w:marTop w:val="0"/>
          <w:marBottom w:val="0"/>
          <w:divBdr>
            <w:top w:val="single" w:sz="2" w:space="3" w:color="FFFFFF"/>
            <w:left w:val="none" w:sz="0" w:space="0" w:color="auto"/>
            <w:bottom w:val="none" w:sz="0" w:space="0" w:color="auto"/>
            <w:right w:val="none" w:sz="0" w:space="0" w:color="auto"/>
          </w:divBdr>
        </w:div>
        <w:div w:id="1539463268">
          <w:marLeft w:val="0"/>
          <w:marRight w:val="0"/>
          <w:marTop w:val="0"/>
          <w:marBottom w:val="0"/>
          <w:divBdr>
            <w:top w:val="single" w:sz="2" w:space="3" w:color="FFFFFF"/>
            <w:left w:val="none" w:sz="0" w:space="0" w:color="auto"/>
            <w:bottom w:val="none" w:sz="0" w:space="0" w:color="auto"/>
            <w:right w:val="none" w:sz="0" w:space="0" w:color="auto"/>
          </w:divBdr>
        </w:div>
        <w:div w:id="634289232">
          <w:marLeft w:val="0"/>
          <w:marRight w:val="0"/>
          <w:marTop w:val="0"/>
          <w:marBottom w:val="0"/>
          <w:divBdr>
            <w:top w:val="single" w:sz="2" w:space="3" w:color="FFFFFF"/>
            <w:left w:val="none" w:sz="0" w:space="0" w:color="auto"/>
            <w:bottom w:val="none" w:sz="0" w:space="0" w:color="auto"/>
            <w:right w:val="none" w:sz="0" w:space="0" w:color="auto"/>
          </w:divBdr>
        </w:div>
        <w:div w:id="856692535">
          <w:marLeft w:val="0"/>
          <w:marRight w:val="0"/>
          <w:marTop w:val="0"/>
          <w:marBottom w:val="0"/>
          <w:divBdr>
            <w:top w:val="single" w:sz="2" w:space="3" w:color="FFFFFF"/>
            <w:left w:val="none" w:sz="0" w:space="0" w:color="auto"/>
            <w:bottom w:val="none" w:sz="0" w:space="0" w:color="auto"/>
            <w:right w:val="none" w:sz="0" w:space="0" w:color="auto"/>
          </w:divBdr>
        </w:div>
        <w:div w:id="736780489">
          <w:marLeft w:val="0"/>
          <w:marRight w:val="0"/>
          <w:marTop w:val="0"/>
          <w:marBottom w:val="0"/>
          <w:divBdr>
            <w:top w:val="single" w:sz="2" w:space="3" w:color="FFFFFF"/>
            <w:left w:val="none" w:sz="0" w:space="0" w:color="auto"/>
            <w:bottom w:val="none" w:sz="0" w:space="0" w:color="auto"/>
            <w:right w:val="none" w:sz="0" w:space="0" w:color="auto"/>
          </w:divBdr>
        </w:div>
        <w:div w:id="841896381">
          <w:marLeft w:val="0"/>
          <w:marRight w:val="0"/>
          <w:marTop w:val="0"/>
          <w:marBottom w:val="0"/>
          <w:divBdr>
            <w:top w:val="single" w:sz="2" w:space="3" w:color="FFFFFF"/>
            <w:left w:val="none" w:sz="0" w:space="0" w:color="auto"/>
            <w:bottom w:val="none" w:sz="0" w:space="0" w:color="auto"/>
            <w:right w:val="none" w:sz="0" w:space="0" w:color="auto"/>
          </w:divBdr>
        </w:div>
        <w:div w:id="1583754017">
          <w:marLeft w:val="0"/>
          <w:marRight w:val="0"/>
          <w:marTop w:val="0"/>
          <w:marBottom w:val="0"/>
          <w:divBdr>
            <w:top w:val="single" w:sz="2" w:space="3" w:color="FFFFFF"/>
            <w:left w:val="none" w:sz="0" w:space="0" w:color="auto"/>
            <w:bottom w:val="none" w:sz="0" w:space="0" w:color="auto"/>
            <w:right w:val="none" w:sz="0" w:space="0" w:color="auto"/>
          </w:divBdr>
        </w:div>
        <w:div w:id="521670392">
          <w:marLeft w:val="0"/>
          <w:marRight w:val="0"/>
          <w:marTop w:val="0"/>
          <w:marBottom w:val="0"/>
          <w:divBdr>
            <w:top w:val="single" w:sz="2" w:space="3" w:color="FFFFFF"/>
            <w:left w:val="none" w:sz="0" w:space="0" w:color="auto"/>
            <w:bottom w:val="none" w:sz="0" w:space="0" w:color="auto"/>
            <w:right w:val="none" w:sz="0" w:space="0" w:color="auto"/>
          </w:divBdr>
        </w:div>
        <w:div w:id="1591893653">
          <w:marLeft w:val="0"/>
          <w:marRight w:val="0"/>
          <w:marTop w:val="0"/>
          <w:marBottom w:val="0"/>
          <w:divBdr>
            <w:top w:val="single" w:sz="2" w:space="3" w:color="FFFFFF"/>
            <w:left w:val="none" w:sz="0" w:space="0" w:color="auto"/>
            <w:bottom w:val="none" w:sz="0" w:space="0" w:color="auto"/>
            <w:right w:val="none" w:sz="0" w:space="0" w:color="auto"/>
          </w:divBdr>
        </w:div>
        <w:div w:id="584803518">
          <w:marLeft w:val="0"/>
          <w:marRight w:val="0"/>
          <w:marTop w:val="0"/>
          <w:marBottom w:val="0"/>
          <w:divBdr>
            <w:top w:val="single" w:sz="2" w:space="3" w:color="FFFFFF"/>
            <w:left w:val="none" w:sz="0" w:space="0" w:color="auto"/>
            <w:bottom w:val="none" w:sz="0" w:space="0" w:color="auto"/>
            <w:right w:val="none" w:sz="0" w:space="0" w:color="auto"/>
          </w:divBdr>
        </w:div>
        <w:div w:id="31420780">
          <w:marLeft w:val="0"/>
          <w:marRight w:val="0"/>
          <w:marTop w:val="0"/>
          <w:marBottom w:val="0"/>
          <w:divBdr>
            <w:top w:val="single" w:sz="2" w:space="3" w:color="FFFFFF"/>
            <w:left w:val="none" w:sz="0" w:space="0" w:color="auto"/>
            <w:bottom w:val="none" w:sz="0" w:space="0" w:color="auto"/>
            <w:right w:val="none" w:sz="0" w:space="0" w:color="auto"/>
          </w:divBdr>
        </w:div>
        <w:div w:id="1701662813">
          <w:marLeft w:val="0"/>
          <w:marRight w:val="0"/>
          <w:marTop w:val="0"/>
          <w:marBottom w:val="0"/>
          <w:divBdr>
            <w:top w:val="single" w:sz="2" w:space="3" w:color="FFFFFF"/>
            <w:left w:val="none" w:sz="0" w:space="0" w:color="auto"/>
            <w:bottom w:val="none" w:sz="0" w:space="0" w:color="auto"/>
            <w:right w:val="none" w:sz="0" w:space="0" w:color="auto"/>
          </w:divBdr>
        </w:div>
        <w:div w:id="529532027">
          <w:marLeft w:val="0"/>
          <w:marRight w:val="0"/>
          <w:marTop w:val="0"/>
          <w:marBottom w:val="0"/>
          <w:divBdr>
            <w:top w:val="single" w:sz="2" w:space="3" w:color="FFFFFF"/>
            <w:left w:val="none" w:sz="0" w:space="0" w:color="auto"/>
            <w:bottom w:val="none" w:sz="0" w:space="0" w:color="auto"/>
            <w:right w:val="none" w:sz="0" w:space="0" w:color="auto"/>
          </w:divBdr>
        </w:div>
        <w:div w:id="1606494381">
          <w:marLeft w:val="0"/>
          <w:marRight w:val="0"/>
          <w:marTop w:val="0"/>
          <w:marBottom w:val="0"/>
          <w:divBdr>
            <w:top w:val="single" w:sz="2" w:space="3" w:color="FFFFFF"/>
            <w:left w:val="none" w:sz="0" w:space="0" w:color="auto"/>
            <w:bottom w:val="none" w:sz="0" w:space="0" w:color="auto"/>
            <w:right w:val="none" w:sz="0" w:space="0" w:color="auto"/>
          </w:divBdr>
        </w:div>
        <w:div w:id="188957676">
          <w:marLeft w:val="0"/>
          <w:marRight w:val="0"/>
          <w:marTop w:val="0"/>
          <w:marBottom w:val="0"/>
          <w:divBdr>
            <w:top w:val="single" w:sz="2" w:space="3" w:color="FFFFFF"/>
            <w:left w:val="none" w:sz="0" w:space="0" w:color="auto"/>
            <w:bottom w:val="none" w:sz="0" w:space="0" w:color="auto"/>
            <w:right w:val="none" w:sz="0" w:space="0" w:color="auto"/>
          </w:divBdr>
        </w:div>
        <w:div w:id="1548105470">
          <w:marLeft w:val="0"/>
          <w:marRight w:val="0"/>
          <w:marTop w:val="0"/>
          <w:marBottom w:val="0"/>
          <w:divBdr>
            <w:top w:val="single" w:sz="2" w:space="3" w:color="FFFFFF"/>
            <w:left w:val="none" w:sz="0" w:space="0" w:color="auto"/>
            <w:bottom w:val="none" w:sz="0" w:space="0" w:color="auto"/>
            <w:right w:val="none" w:sz="0" w:space="0" w:color="auto"/>
          </w:divBdr>
        </w:div>
        <w:div w:id="881555476">
          <w:marLeft w:val="0"/>
          <w:marRight w:val="0"/>
          <w:marTop w:val="0"/>
          <w:marBottom w:val="0"/>
          <w:divBdr>
            <w:top w:val="single" w:sz="2" w:space="3" w:color="FFFFFF"/>
            <w:left w:val="none" w:sz="0" w:space="0" w:color="auto"/>
            <w:bottom w:val="none" w:sz="0" w:space="0" w:color="auto"/>
            <w:right w:val="none" w:sz="0" w:space="0" w:color="auto"/>
          </w:divBdr>
        </w:div>
        <w:div w:id="933825177">
          <w:marLeft w:val="0"/>
          <w:marRight w:val="0"/>
          <w:marTop w:val="0"/>
          <w:marBottom w:val="0"/>
          <w:divBdr>
            <w:top w:val="single" w:sz="2" w:space="3" w:color="FFFFFF"/>
            <w:left w:val="none" w:sz="0" w:space="0" w:color="auto"/>
            <w:bottom w:val="none" w:sz="0" w:space="0" w:color="auto"/>
            <w:right w:val="none" w:sz="0" w:space="0" w:color="auto"/>
          </w:divBdr>
        </w:div>
        <w:div w:id="448428126">
          <w:marLeft w:val="0"/>
          <w:marRight w:val="0"/>
          <w:marTop w:val="0"/>
          <w:marBottom w:val="0"/>
          <w:divBdr>
            <w:top w:val="single" w:sz="2" w:space="3" w:color="FFFFFF"/>
            <w:left w:val="none" w:sz="0" w:space="0" w:color="auto"/>
            <w:bottom w:val="none" w:sz="0" w:space="0" w:color="auto"/>
            <w:right w:val="none" w:sz="0" w:space="0" w:color="auto"/>
          </w:divBdr>
        </w:div>
        <w:div w:id="1525554628">
          <w:marLeft w:val="0"/>
          <w:marRight w:val="0"/>
          <w:marTop w:val="0"/>
          <w:marBottom w:val="0"/>
          <w:divBdr>
            <w:top w:val="single" w:sz="2" w:space="3" w:color="FFFFFF"/>
            <w:left w:val="none" w:sz="0" w:space="0" w:color="auto"/>
            <w:bottom w:val="none" w:sz="0" w:space="0" w:color="auto"/>
            <w:right w:val="none" w:sz="0" w:space="0" w:color="auto"/>
          </w:divBdr>
        </w:div>
        <w:div w:id="1863519709">
          <w:marLeft w:val="0"/>
          <w:marRight w:val="0"/>
          <w:marTop w:val="0"/>
          <w:marBottom w:val="0"/>
          <w:divBdr>
            <w:top w:val="single" w:sz="2" w:space="3" w:color="FFFFFF"/>
            <w:left w:val="none" w:sz="0" w:space="0" w:color="auto"/>
            <w:bottom w:val="none" w:sz="0" w:space="0" w:color="auto"/>
            <w:right w:val="none" w:sz="0" w:space="0" w:color="auto"/>
          </w:divBdr>
        </w:div>
        <w:div w:id="1621762433">
          <w:marLeft w:val="0"/>
          <w:marRight w:val="0"/>
          <w:marTop w:val="0"/>
          <w:marBottom w:val="0"/>
          <w:divBdr>
            <w:top w:val="single" w:sz="2" w:space="3" w:color="FFFFFF"/>
            <w:left w:val="none" w:sz="0" w:space="0" w:color="auto"/>
            <w:bottom w:val="none" w:sz="0" w:space="0" w:color="auto"/>
            <w:right w:val="none" w:sz="0" w:space="0" w:color="auto"/>
          </w:divBdr>
        </w:div>
        <w:div w:id="1991205129">
          <w:marLeft w:val="0"/>
          <w:marRight w:val="0"/>
          <w:marTop w:val="0"/>
          <w:marBottom w:val="0"/>
          <w:divBdr>
            <w:top w:val="single" w:sz="2" w:space="3" w:color="FFFFFF"/>
            <w:left w:val="none" w:sz="0" w:space="0" w:color="auto"/>
            <w:bottom w:val="none" w:sz="0" w:space="0" w:color="auto"/>
            <w:right w:val="none" w:sz="0" w:space="0" w:color="auto"/>
          </w:divBdr>
        </w:div>
        <w:div w:id="705525430">
          <w:marLeft w:val="0"/>
          <w:marRight w:val="0"/>
          <w:marTop w:val="0"/>
          <w:marBottom w:val="0"/>
          <w:divBdr>
            <w:top w:val="single" w:sz="2" w:space="3" w:color="FFFFFF"/>
            <w:left w:val="none" w:sz="0" w:space="0" w:color="auto"/>
            <w:bottom w:val="none" w:sz="0" w:space="0" w:color="auto"/>
            <w:right w:val="none" w:sz="0" w:space="0" w:color="auto"/>
          </w:divBdr>
        </w:div>
        <w:div w:id="1341814070">
          <w:marLeft w:val="0"/>
          <w:marRight w:val="0"/>
          <w:marTop w:val="0"/>
          <w:marBottom w:val="0"/>
          <w:divBdr>
            <w:top w:val="single" w:sz="2" w:space="3" w:color="FFFFFF"/>
            <w:left w:val="none" w:sz="0" w:space="0" w:color="auto"/>
            <w:bottom w:val="none" w:sz="0" w:space="0" w:color="auto"/>
            <w:right w:val="none" w:sz="0" w:space="0" w:color="auto"/>
          </w:divBdr>
        </w:div>
        <w:div w:id="1336879756">
          <w:marLeft w:val="0"/>
          <w:marRight w:val="0"/>
          <w:marTop w:val="0"/>
          <w:marBottom w:val="0"/>
          <w:divBdr>
            <w:top w:val="single" w:sz="2" w:space="3" w:color="FFFFFF"/>
            <w:left w:val="none" w:sz="0" w:space="0" w:color="auto"/>
            <w:bottom w:val="none" w:sz="0" w:space="0" w:color="auto"/>
            <w:right w:val="none" w:sz="0" w:space="0" w:color="auto"/>
          </w:divBdr>
        </w:div>
        <w:div w:id="1203446611">
          <w:marLeft w:val="0"/>
          <w:marRight w:val="0"/>
          <w:marTop w:val="0"/>
          <w:marBottom w:val="0"/>
          <w:divBdr>
            <w:top w:val="single" w:sz="2" w:space="3" w:color="FFFFFF"/>
            <w:left w:val="none" w:sz="0" w:space="0" w:color="auto"/>
            <w:bottom w:val="none" w:sz="0" w:space="0" w:color="auto"/>
            <w:right w:val="none" w:sz="0" w:space="0" w:color="auto"/>
          </w:divBdr>
        </w:div>
        <w:div w:id="673533815">
          <w:marLeft w:val="0"/>
          <w:marRight w:val="0"/>
          <w:marTop w:val="0"/>
          <w:marBottom w:val="0"/>
          <w:divBdr>
            <w:top w:val="single" w:sz="2" w:space="3" w:color="FFFFFF"/>
            <w:left w:val="none" w:sz="0" w:space="0" w:color="auto"/>
            <w:bottom w:val="none" w:sz="0" w:space="0" w:color="auto"/>
            <w:right w:val="none" w:sz="0" w:space="0" w:color="auto"/>
          </w:divBdr>
        </w:div>
        <w:div w:id="668564484">
          <w:marLeft w:val="0"/>
          <w:marRight w:val="0"/>
          <w:marTop w:val="0"/>
          <w:marBottom w:val="0"/>
          <w:divBdr>
            <w:top w:val="single" w:sz="2" w:space="3" w:color="FFFFFF"/>
            <w:left w:val="none" w:sz="0" w:space="0" w:color="auto"/>
            <w:bottom w:val="none" w:sz="0" w:space="0" w:color="auto"/>
            <w:right w:val="none" w:sz="0" w:space="0" w:color="auto"/>
          </w:divBdr>
        </w:div>
        <w:div w:id="1300187794">
          <w:marLeft w:val="0"/>
          <w:marRight w:val="0"/>
          <w:marTop w:val="0"/>
          <w:marBottom w:val="0"/>
          <w:divBdr>
            <w:top w:val="single" w:sz="2" w:space="3" w:color="FFFFFF"/>
            <w:left w:val="none" w:sz="0" w:space="0" w:color="auto"/>
            <w:bottom w:val="none" w:sz="0" w:space="0" w:color="auto"/>
            <w:right w:val="none" w:sz="0" w:space="0" w:color="auto"/>
          </w:divBdr>
        </w:div>
        <w:div w:id="1733384354">
          <w:marLeft w:val="0"/>
          <w:marRight w:val="0"/>
          <w:marTop w:val="0"/>
          <w:marBottom w:val="0"/>
          <w:divBdr>
            <w:top w:val="single" w:sz="2" w:space="3" w:color="FFFFFF"/>
            <w:left w:val="none" w:sz="0" w:space="0" w:color="auto"/>
            <w:bottom w:val="none" w:sz="0" w:space="0" w:color="auto"/>
            <w:right w:val="none" w:sz="0" w:space="0" w:color="auto"/>
          </w:divBdr>
        </w:div>
      </w:divsChild>
    </w:div>
    <w:div w:id="1465539263">
      <w:bodyDiv w:val="1"/>
      <w:marLeft w:val="0"/>
      <w:marRight w:val="0"/>
      <w:marTop w:val="0"/>
      <w:marBottom w:val="0"/>
      <w:divBdr>
        <w:top w:val="none" w:sz="0" w:space="0" w:color="auto"/>
        <w:left w:val="none" w:sz="0" w:space="0" w:color="auto"/>
        <w:bottom w:val="none" w:sz="0" w:space="0" w:color="auto"/>
        <w:right w:val="none" w:sz="0" w:space="0" w:color="auto"/>
      </w:divBdr>
    </w:div>
    <w:div w:id="1610433986">
      <w:bodyDiv w:val="1"/>
      <w:marLeft w:val="0"/>
      <w:marRight w:val="0"/>
      <w:marTop w:val="0"/>
      <w:marBottom w:val="0"/>
      <w:divBdr>
        <w:top w:val="none" w:sz="0" w:space="0" w:color="auto"/>
        <w:left w:val="none" w:sz="0" w:space="0" w:color="auto"/>
        <w:bottom w:val="none" w:sz="0" w:space="0" w:color="auto"/>
        <w:right w:val="none" w:sz="0" w:space="0" w:color="auto"/>
      </w:divBdr>
    </w:div>
    <w:div w:id="1719430301">
      <w:bodyDiv w:val="1"/>
      <w:marLeft w:val="0"/>
      <w:marRight w:val="0"/>
      <w:marTop w:val="0"/>
      <w:marBottom w:val="0"/>
      <w:divBdr>
        <w:top w:val="none" w:sz="0" w:space="0" w:color="auto"/>
        <w:left w:val="none" w:sz="0" w:space="0" w:color="auto"/>
        <w:bottom w:val="none" w:sz="0" w:space="0" w:color="auto"/>
        <w:right w:val="none" w:sz="0" w:space="0" w:color="auto"/>
      </w:divBdr>
    </w:div>
    <w:div w:id="19358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hyperlink" Target="http://localhost:8080/DataReportNew/SingleReportAnaylsisByPMDDName_new" TargetMode="External"/><Relationship Id="rId26" Type="http://schemas.openxmlformats.org/officeDocument/2006/relationships/hyperlink" Target="http://localhost:8080/DataReportNew/SingleReportAnaylsisByPMDDName_new" TargetMode="External"/><Relationship Id="rId39" Type="http://schemas.openxmlformats.org/officeDocument/2006/relationships/hyperlink" Target="http://localhost:8080/DataReportNew/SingleReportAnaylsisByPMDDName_new" TargetMode="External"/><Relationship Id="rId3" Type="http://schemas.openxmlformats.org/officeDocument/2006/relationships/settings" Target="settings.xml"/><Relationship Id="rId21" Type="http://schemas.openxmlformats.org/officeDocument/2006/relationships/hyperlink" Target="http://localhost:8080/DataReportNew/SingleReportAnaylsisByPMDDName_new" TargetMode="External"/><Relationship Id="rId34" Type="http://schemas.openxmlformats.org/officeDocument/2006/relationships/hyperlink" Target="http://localhost:8080/DataReportNew/SingleReportAnaylsisByPMDDName_new" TargetMode="External"/><Relationship Id="rId42" Type="http://schemas.openxmlformats.org/officeDocument/2006/relationships/hyperlink" Target="http://localhost:8080/DataReportNew/SingleReportAnaylsisByPMDDName_new" TargetMode="External"/><Relationship Id="rId47" Type="http://schemas.openxmlformats.org/officeDocument/2006/relationships/hyperlink" Target="http://localhost:8080/DataReportNew/SingleReportAnaylsisByPMDDName_new" TargetMode="External"/><Relationship Id="rId50" Type="http://schemas.openxmlformats.org/officeDocument/2006/relationships/hyperlink" Target="http://localhost:8080/DataReportNew/SingleReportAnaylsisByPMDDName_new"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localhost:8080/DataReportNew/SingleReportAnaylsisByPMDDName_new" TargetMode="External"/><Relationship Id="rId25" Type="http://schemas.openxmlformats.org/officeDocument/2006/relationships/hyperlink" Target="http://localhost:8080/DataReportNew/SingleReportAnaylsisByPMDDName_new" TargetMode="External"/><Relationship Id="rId33" Type="http://schemas.openxmlformats.org/officeDocument/2006/relationships/hyperlink" Target="http://localhost:8080/DataReportNew/SingleReportAnaylsisByPMDDName_new" TargetMode="External"/><Relationship Id="rId38" Type="http://schemas.openxmlformats.org/officeDocument/2006/relationships/hyperlink" Target="http://localhost:8080/DataReportNew/SingleReportAnaylsisByPMDDName_new" TargetMode="External"/><Relationship Id="rId46" Type="http://schemas.openxmlformats.org/officeDocument/2006/relationships/hyperlink" Target="http://localhost:8080/DataReportNew/SingleReportAnaylsisByPMDDName_new" TargetMode="External"/><Relationship Id="rId2" Type="http://schemas.openxmlformats.org/officeDocument/2006/relationships/styles" Target="styles.xml"/><Relationship Id="rId16" Type="http://schemas.openxmlformats.org/officeDocument/2006/relationships/hyperlink" Target="http://localhost:8080/DataReportNew/SingleReportAnaylsisByPMDDName_new" TargetMode="External"/><Relationship Id="rId20" Type="http://schemas.openxmlformats.org/officeDocument/2006/relationships/hyperlink" Target="http://localhost:8080/DataReportNew/SingleReportAnaylsisByPMDDName_new" TargetMode="External"/><Relationship Id="rId29" Type="http://schemas.openxmlformats.org/officeDocument/2006/relationships/hyperlink" Target="http://localhost:8080/DataReportNew/SingleReportAnaylsisByPMDDName_new" TargetMode="External"/><Relationship Id="rId41" Type="http://schemas.openxmlformats.org/officeDocument/2006/relationships/hyperlink" Target="http://localhost:8080/DataReportNew/SingleReportAnaylsisByPMDDName_new"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hyperlink" Target="http://localhost:8080/DataReportNew/SingleReportAnaylsisByPMDDName_new" TargetMode="External"/><Relationship Id="rId32" Type="http://schemas.openxmlformats.org/officeDocument/2006/relationships/hyperlink" Target="http://localhost:8080/DataReportNew/SingleReportAnaylsisByPMDDName_new" TargetMode="External"/><Relationship Id="rId37" Type="http://schemas.openxmlformats.org/officeDocument/2006/relationships/hyperlink" Target="http://localhost:8080/DataReportNew/SingleReportAnaylsisByPMDDName_new" TargetMode="External"/><Relationship Id="rId40" Type="http://schemas.openxmlformats.org/officeDocument/2006/relationships/hyperlink" Target="http://localhost:8080/DataReportNew/SingleReportAnaylsisByPMDDName_new" TargetMode="External"/><Relationship Id="rId45" Type="http://schemas.openxmlformats.org/officeDocument/2006/relationships/hyperlink" Target="http://localhost:8080/DataReportNew/SingleReportAnaylsisByPMDDName_new"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ocalhost:8080/DataReportNew/SingleReportAnaylsisByPMDDName_new" TargetMode="External"/><Relationship Id="rId23" Type="http://schemas.openxmlformats.org/officeDocument/2006/relationships/hyperlink" Target="http://localhost:8080/DataReportNew/SingleReportAnaylsisByPMDDName_new" TargetMode="External"/><Relationship Id="rId28" Type="http://schemas.openxmlformats.org/officeDocument/2006/relationships/hyperlink" Target="http://localhost:8080/DataReportNew/SingleReportAnaylsisByPMDDName_new" TargetMode="External"/><Relationship Id="rId36" Type="http://schemas.openxmlformats.org/officeDocument/2006/relationships/hyperlink" Target="http://localhost:8080/DataReportNew/SingleReportAnaylsisByPMDDName_new" TargetMode="External"/><Relationship Id="rId49" Type="http://schemas.openxmlformats.org/officeDocument/2006/relationships/hyperlink" Target="http://localhost:8080/DataReportNew/SingleReportAnaylsisByPMDDName_new" TargetMode="External"/><Relationship Id="rId10" Type="http://schemas.openxmlformats.org/officeDocument/2006/relationships/chart" Target="charts/chart4.xml"/><Relationship Id="rId19" Type="http://schemas.openxmlformats.org/officeDocument/2006/relationships/hyperlink" Target="http://localhost:8080/DataReportNew/SingleReportAnaylsisByPMDDName_new" TargetMode="External"/><Relationship Id="rId31" Type="http://schemas.openxmlformats.org/officeDocument/2006/relationships/hyperlink" Target="http://localhost:8080/DataReportNew/SingleReportAnaylsisByPMDDName_new" TargetMode="External"/><Relationship Id="rId44" Type="http://schemas.openxmlformats.org/officeDocument/2006/relationships/hyperlink" Target="http://localhost:8080/DataReportNew/SingleReportAnaylsisByPMDDName_new"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localhost:8080/DataReportNew/SingleReportAnaylsisByPMDDName_new" TargetMode="External"/><Relationship Id="rId22" Type="http://schemas.openxmlformats.org/officeDocument/2006/relationships/hyperlink" Target="http://localhost:8080/DataReportNew/SingleReportAnaylsisByPMDDName_new" TargetMode="External"/><Relationship Id="rId27" Type="http://schemas.openxmlformats.org/officeDocument/2006/relationships/hyperlink" Target="http://localhost:8080/DataReportNew/SingleReportAnaylsisByPMDDName_new" TargetMode="External"/><Relationship Id="rId30" Type="http://schemas.openxmlformats.org/officeDocument/2006/relationships/hyperlink" Target="http://localhost:8080/DataReportNew/SingleReportAnaylsisByPMDDName_new" TargetMode="External"/><Relationship Id="rId35" Type="http://schemas.openxmlformats.org/officeDocument/2006/relationships/hyperlink" Target="http://localhost:8080/DataReportNew/SingleReportAnaylsisByPMDDName_new" TargetMode="External"/><Relationship Id="rId43" Type="http://schemas.openxmlformats.org/officeDocument/2006/relationships/hyperlink" Target="http://localhost:8080/DataReportNew/SingleReportAnaylsisByPMDDName_new" TargetMode="External"/><Relationship Id="rId48" Type="http://schemas.openxmlformats.org/officeDocument/2006/relationships/hyperlink" Target="http://localhost:8080/DataReportNew/SingleReportAnaylsisByPMDDName_new" TargetMode="External"/><Relationship Id="rId8" Type="http://schemas.openxmlformats.org/officeDocument/2006/relationships/chart" Target="charts/chart2.xml"/><Relationship Id="rId51"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D:\&#36890;&#35759;_\2018-Q3%20&#36890;&#35759;\2018-Q3%20&#25253;&#21578;&#24773;&#20917;&#32479;&#35745;%20&#37197;&#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36890;&#35759;_\2018-Q3%20&#36890;&#35759;\2018-Q3%20&#25253;&#21578;&#24773;&#20917;&#32479;&#35745;%20&#37197;&#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36890;&#35759;_\2018-Q3%20&#36890;&#35759;\2018-Q3%20&#25253;&#21578;&#24773;&#20917;&#32479;&#35745;%20&#37197;&#222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36890;&#35759;_\2018-Q3%20&#36890;&#35759;\2018-Q3%20&#25253;&#21578;&#24773;&#20917;&#32479;&#35745;%20&#37197;&#222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36890;&#35759;_\2018-Q3%20&#36890;&#35759;\2018-Q3%20&#25253;&#21578;&#24773;&#20917;&#32479;&#35745;%20&#37197;&#222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36890;&#35759;_\2018-Q3%20&#36890;&#35759;\2018-Q3%20&#25253;&#21578;&#24773;&#20917;&#32479;&#35745;%20&#37197;&#222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36890;&#35759;_\2018-Q3%20&#36890;&#35759;\2018-Q3%20&#25253;&#21578;&#24773;&#20917;&#32479;&#35745;%20&#37197;&#2227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36890;&#35759;_\2018-Q3%20&#36890;&#35759;\2018-Q3%20&#25253;&#21578;&#24773;&#20917;&#32479;&#35745;%20&#37197;&#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4"/>
  <c:chart>
    <c:autoTitleDeleted val="1"/>
    <c:plotArea>
      <c:layout>
        <c:manualLayout>
          <c:layoutTarget val="inner"/>
          <c:xMode val="edge"/>
          <c:yMode val="edge"/>
          <c:x val="6.9465223097112921E-2"/>
          <c:y val="4.4044044044044092E-2"/>
          <c:w val="0.88340288713910753"/>
          <c:h val="0.72671925479440158"/>
        </c:manualLayout>
      </c:layout>
      <c:barChart>
        <c:barDir val="col"/>
        <c:grouping val="clustered"/>
        <c:ser>
          <c:idx val="0"/>
          <c:order val="0"/>
          <c:tx>
            <c:strRef>
              <c:f>图3!$B$1</c:f>
              <c:strCache>
                <c:ptCount val="1"/>
                <c:pt idx="0">
                  <c:v>每百万人口报告数量</c:v>
                </c:pt>
              </c:strCache>
            </c:strRef>
          </c:tx>
          <c:dLbls>
            <c:spPr>
              <a:noFill/>
              <a:ln>
                <a:noFill/>
              </a:ln>
              <a:effectLst/>
            </c:spPr>
            <c:dLblPos val="outEnd"/>
            <c:showVal val="1"/>
            <c:extLst>
              <c:ext xmlns:c15="http://schemas.microsoft.com/office/drawing/2012/chart" uri="{CE6537A1-D6FC-4f65-9D91-7224C49458BB}">
                <c15:showLeaderLines val="0"/>
              </c:ext>
            </c:extLst>
          </c:dLbls>
          <c:cat>
            <c:strRef>
              <c:f>图3!$A$2:$A$3</c:f>
              <c:strCache>
                <c:ptCount val="2"/>
                <c:pt idx="0">
                  <c:v>截至2017年第三季度</c:v>
                </c:pt>
                <c:pt idx="1">
                  <c:v>截至2018年第三季度</c:v>
                </c:pt>
              </c:strCache>
            </c:strRef>
          </c:cat>
          <c:val>
            <c:numRef>
              <c:f>图3!$B$2:$B$3</c:f>
              <c:numCache>
                <c:formatCode>General</c:formatCode>
                <c:ptCount val="2"/>
                <c:pt idx="0">
                  <c:v>189</c:v>
                </c:pt>
                <c:pt idx="1">
                  <c:v>222</c:v>
                </c:pt>
              </c:numCache>
            </c:numRef>
          </c:val>
        </c:ser>
        <c:axId val="210882944"/>
        <c:axId val="210919424"/>
      </c:barChart>
      <c:catAx>
        <c:axId val="210882944"/>
        <c:scaling>
          <c:orientation val="minMax"/>
        </c:scaling>
        <c:axPos val="b"/>
        <c:numFmt formatCode="General" sourceLinked="0"/>
        <c:tickLblPos val="nextTo"/>
        <c:crossAx val="210919424"/>
        <c:crosses val="autoZero"/>
        <c:auto val="1"/>
        <c:lblAlgn val="ctr"/>
        <c:lblOffset val="100"/>
      </c:catAx>
      <c:valAx>
        <c:axId val="210919424"/>
        <c:scaling>
          <c:orientation val="minMax"/>
          <c:min val="0"/>
        </c:scaling>
        <c:axPos val="l"/>
        <c:majorGridlines/>
        <c:numFmt formatCode="General" sourceLinked="1"/>
        <c:tickLblPos val="nextTo"/>
        <c:crossAx val="210882944"/>
        <c:crosses val="autoZero"/>
        <c:crossBetween val="between"/>
        <c:majorUnit val="50"/>
      </c:valAx>
    </c:plotArea>
    <c:legend>
      <c:legendPos val="r"/>
      <c:layout>
        <c:manualLayout>
          <c:xMode val="edge"/>
          <c:yMode val="edge"/>
          <c:x val="0.25195731681080846"/>
          <c:y val="0.8931975457333764"/>
          <c:w val="0.52021943978314189"/>
          <c:h val="6.7924617530917039E-2"/>
        </c:manualLayout>
      </c:layout>
    </c:legend>
    <c:plotVisOnly val="1"/>
    <c:dispBlanksAs val="gap"/>
  </c:chart>
  <c:txPr>
    <a:bodyPr/>
    <a:lstStyle/>
    <a:p>
      <a:pPr>
        <a:defRPr>
          <a:latin typeface="Times New Roman" pitchFamily="18" charset="0"/>
          <a:cs typeface="Times New Roman" pitchFamily="18" charset="0"/>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tx>
            <c:strRef>
              <c:f>图4!$B$1</c:f>
              <c:strCache>
                <c:ptCount val="1"/>
                <c:pt idx="0">
                  <c:v>注册数量</c:v>
                </c:pt>
              </c:strCache>
            </c:strRef>
          </c:tx>
          <c:dLbls>
            <c:dLbl>
              <c:idx val="0"/>
              <c:layout>
                <c:manualLayout>
                  <c:x val="0.19444444444444564"/>
                  <c:y val="3.2407407407407593E-2"/>
                </c:manualLayout>
              </c:layout>
              <c:dLblPos val="bestFit"/>
              <c:showVal val="1"/>
              <c:showCatName val="1"/>
              <c:showPercent val="1"/>
              <c:extLst>
                <c:ext xmlns:c15="http://schemas.microsoft.com/office/drawing/2012/chart" uri="{CE6537A1-D6FC-4f65-9D91-7224C49458BB}"/>
              </c:extLst>
            </c:dLbl>
            <c:dLbl>
              <c:idx val="1"/>
              <c:layout>
                <c:manualLayout>
                  <c:x val="1.6666666666666701E-2"/>
                  <c:y val="-0.23611111111111124"/>
                </c:manualLayout>
              </c:layout>
              <c:dLblPos val="bestFit"/>
              <c:showVal val="1"/>
              <c:showCatName val="1"/>
              <c:showPercent val="1"/>
              <c:extLst>
                <c:ext xmlns:c15="http://schemas.microsoft.com/office/drawing/2012/chart" uri="{CE6537A1-D6FC-4f65-9D91-7224C49458BB}"/>
              </c:extLst>
            </c:dLbl>
            <c:dLbl>
              <c:idx val="2"/>
              <c:layout>
                <c:manualLayout>
                  <c:x val="-0.20983054423161637"/>
                  <c:y val="7.5493227580129232E-2"/>
                </c:manualLayout>
              </c:layout>
              <c:dLblPos val="bestFit"/>
              <c:showVal val="1"/>
              <c:showCatName val="1"/>
              <c:showPercent val="1"/>
              <c:extLst>
                <c:ext xmlns:c15="http://schemas.microsoft.com/office/drawing/2012/chart" uri="{CE6537A1-D6FC-4f65-9D91-7224C49458BB}"/>
              </c:extLst>
            </c:dLbl>
            <c:numFmt formatCode="0.00%" sourceLinked="0"/>
            <c:spPr>
              <a:noFill/>
              <a:ln>
                <a:noFill/>
              </a:ln>
              <a:effectLst/>
            </c:spPr>
            <c:dLblPos val="outEnd"/>
            <c:showVal val="1"/>
            <c:showCatName val="1"/>
            <c:showPercent val="1"/>
            <c:showLeaderLines val="1"/>
            <c:extLst>
              <c:ext xmlns:c15="http://schemas.microsoft.com/office/drawing/2012/chart" uri="{CE6537A1-D6FC-4f65-9D91-7224C49458BB}"/>
            </c:extLst>
          </c:dLbls>
          <c:cat>
            <c:strRef>
              <c:f>图4!$A$2:$A$4</c:f>
              <c:strCache>
                <c:ptCount val="3"/>
                <c:pt idx="0">
                  <c:v>生产企业</c:v>
                </c:pt>
                <c:pt idx="1">
                  <c:v>经营企业</c:v>
                </c:pt>
                <c:pt idx="2">
                  <c:v>使用单位</c:v>
                </c:pt>
              </c:strCache>
            </c:strRef>
          </c:cat>
          <c:val>
            <c:numRef>
              <c:f>图4!$B$2:$B$4</c:f>
              <c:numCache>
                <c:formatCode>General</c:formatCode>
                <c:ptCount val="3"/>
                <c:pt idx="0">
                  <c:v>1252</c:v>
                </c:pt>
                <c:pt idx="1">
                  <c:v>17436</c:v>
                </c:pt>
                <c:pt idx="2">
                  <c:v>1163</c:v>
                </c:pt>
              </c:numCache>
            </c:numRef>
          </c:val>
        </c:ser>
        <c:dLbls>
          <c:showVal val="1"/>
        </c:dLbls>
        <c:firstSliceAng val="0"/>
      </c:pieChart>
    </c:plotArea>
    <c:plotVisOnly val="1"/>
    <c:dispBlanksAs val="zero"/>
  </c:chart>
  <c:txPr>
    <a:bodyPr/>
    <a:lstStyle/>
    <a:p>
      <a:pPr>
        <a:defRPr>
          <a:latin typeface="Times New Roman" pitchFamily="18" charset="0"/>
          <a:cs typeface="Times New Roman" pitchFamily="18" charset="0"/>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6805555555555555"/>
          <c:y val="0.16435185185185186"/>
          <c:w val="0.43333333333333335"/>
          <c:h val="0.72222222222222221"/>
        </c:manualLayout>
      </c:layout>
      <c:pieChart>
        <c:varyColors val="1"/>
        <c:ser>
          <c:idx val="0"/>
          <c:order val="0"/>
          <c:tx>
            <c:strRef>
              <c:f>图5!$B$1</c:f>
              <c:strCache>
                <c:ptCount val="1"/>
                <c:pt idx="0">
                  <c:v>报告数量</c:v>
                </c:pt>
              </c:strCache>
            </c:strRef>
          </c:tx>
          <c:dLbls>
            <c:dLbl>
              <c:idx val="0"/>
              <c:layout>
                <c:manualLayout>
                  <c:x val="0.10776859142607204"/>
                  <c:y val="-0.26851851851851855"/>
                </c:manualLayout>
              </c:layout>
              <c:showVal val="1"/>
              <c:showCatName val="1"/>
              <c:showPercent val="1"/>
              <c:extLst>
                <c:ext xmlns:c15="http://schemas.microsoft.com/office/drawing/2012/chart" uri="{CE6537A1-D6FC-4f65-9D91-7224C49458BB}"/>
              </c:extLst>
            </c:dLbl>
            <c:dLbl>
              <c:idx val="1"/>
              <c:layout>
                <c:manualLayout>
                  <c:x val="9.4644575678040688E-2"/>
                  <c:y val="-5.819371536891222E-2"/>
                </c:manualLayout>
              </c:layout>
              <c:showVal val="1"/>
              <c:showCatName val="1"/>
              <c:showPercent val="1"/>
              <c:extLst>
                <c:ext xmlns:c15="http://schemas.microsoft.com/office/drawing/2012/chart" uri="{CE6537A1-D6FC-4f65-9D91-7224C49458BB}"/>
              </c:extLst>
            </c:dLbl>
            <c:dLbl>
              <c:idx val="2"/>
              <c:layout>
                <c:manualLayout>
                  <c:x val="-3.7900043744531951E-2"/>
                  <c:y val="-4.8087999416739573E-2"/>
                </c:manualLayout>
              </c:layout>
              <c:showVal val="1"/>
              <c:showCatName val="1"/>
              <c:showPercent val="1"/>
              <c:extLst>
                <c:ext xmlns:c15="http://schemas.microsoft.com/office/drawing/2012/chart" uri="{CE6537A1-D6FC-4f65-9D91-7224C49458BB}"/>
              </c:extLst>
            </c:dLbl>
            <c:numFmt formatCode="0.00%" sourceLinked="0"/>
            <c:spPr>
              <a:noFill/>
              <a:ln>
                <a:noFill/>
              </a:ln>
              <a:effectLst/>
            </c:spPr>
            <c:txPr>
              <a:bodyPr/>
              <a:lstStyle/>
              <a:p>
                <a:pPr>
                  <a:defRPr>
                    <a:latin typeface="Times New Roman" pitchFamily="18" charset="0"/>
                    <a:cs typeface="Times New Roman" pitchFamily="18" charset="0"/>
                  </a:defRPr>
                </a:pPr>
                <a:endParaRPr lang="zh-CN"/>
              </a:p>
            </c:txPr>
            <c:showVal val="1"/>
            <c:showCatName val="1"/>
            <c:showPercent val="1"/>
            <c:showLeaderLines val="1"/>
            <c:extLst>
              <c:ext xmlns:c15="http://schemas.microsoft.com/office/drawing/2012/chart" uri="{CE6537A1-D6FC-4f65-9D91-7224C49458BB}"/>
            </c:extLst>
          </c:dLbls>
          <c:cat>
            <c:strRef>
              <c:f>图5!$A$2:$A$4</c:f>
              <c:strCache>
                <c:ptCount val="3"/>
                <c:pt idx="0">
                  <c:v>经营企业</c:v>
                </c:pt>
                <c:pt idx="1">
                  <c:v>生产企业</c:v>
                </c:pt>
                <c:pt idx="2">
                  <c:v>使用单位</c:v>
                </c:pt>
              </c:strCache>
            </c:strRef>
          </c:cat>
          <c:val>
            <c:numRef>
              <c:f>图5!$B$2:$B$4</c:f>
              <c:numCache>
                <c:formatCode>General</c:formatCode>
                <c:ptCount val="3"/>
                <c:pt idx="0">
                  <c:v>321</c:v>
                </c:pt>
                <c:pt idx="1">
                  <c:v>1403</c:v>
                </c:pt>
                <c:pt idx="2">
                  <c:v>820</c:v>
                </c:pt>
              </c:numCache>
            </c:numRef>
          </c:val>
        </c:ser>
        <c:dLbls>
          <c:showVal val="1"/>
          <c:showCatName val="1"/>
        </c:dLbls>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autoTitleDeleted val="1"/>
    <c:view3D>
      <c:perspective val="30"/>
    </c:view3D>
    <c:plotArea>
      <c:layout/>
      <c:bar3DChart>
        <c:barDir val="col"/>
        <c:grouping val="clustered"/>
        <c:ser>
          <c:idx val="0"/>
          <c:order val="0"/>
          <c:tx>
            <c:strRef>
              <c:f>图6!$B$1</c:f>
              <c:strCache>
                <c:ptCount val="1"/>
                <c:pt idx="0">
                  <c:v>2017年第三季度报告数量</c:v>
                </c:pt>
              </c:strCache>
            </c:strRef>
          </c:tx>
          <c:dLbls>
            <c:showVal val="1"/>
          </c:dLbls>
          <c:cat>
            <c:strRef>
              <c:f>图6!$A$2:$A$4</c:f>
              <c:strCache>
                <c:ptCount val="3"/>
                <c:pt idx="0">
                  <c:v>经营企业</c:v>
                </c:pt>
                <c:pt idx="1">
                  <c:v>生产企业</c:v>
                </c:pt>
                <c:pt idx="2">
                  <c:v>使用单位</c:v>
                </c:pt>
              </c:strCache>
            </c:strRef>
          </c:cat>
          <c:val>
            <c:numRef>
              <c:f>图6!$B$2:$B$4</c:f>
              <c:numCache>
                <c:formatCode>General</c:formatCode>
                <c:ptCount val="3"/>
                <c:pt idx="0">
                  <c:v>142</c:v>
                </c:pt>
                <c:pt idx="1">
                  <c:v>905</c:v>
                </c:pt>
                <c:pt idx="2">
                  <c:v>819</c:v>
                </c:pt>
              </c:numCache>
            </c:numRef>
          </c:val>
        </c:ser>
        <c:ser>
          <c:idx val="1"/>
          <c:order val="1"/>
          <c:tx>
            <c:strRef>
              <c:f>图6!$C$1</c:f>
              <c:strCache>
                <c:ptCount val="1"/>
                <c:pt idx="0">
                  <c:v>2018年第三季度报告数量</c:v>
                </c:pt>
              </c:strCache>
            </c:strRef>
          </c:tx>
          <c:dLbls>
            <c:showVal val="1"/>
          </c:dLbls>
          <c:cat>
            <c:strRef>
              <c:f>图6!$A$2:$A$4</c:f>
              <c:strCache>
                <c:ptCount val="3"/>
                <c:pt idx="0">
                  <c:v>经营企业</c:v>
                </c:pt>
                <c:pt idx="1">
                  <c:v>生产企业</c:v>
                </c:pt>
                <c:pt idx="2">
                  <c:v>使用单位</c:v>
                </c:pt>
              </c:strCache>
            </c:strRef>
          </c:cat>
          <c:val>
            <c:numRef>
              <c:f>图6!$C$2:$C$4</c:f>
              <c:numCache>
                <c:formatCode>General</c:formatCode>
                <c:ptCount val="3"/>
                <c:pt idx="0">
                  <c:v>321</c:v>
                </c:pt>
                <c:pt idx="1">
                  <c:v>1403</c:v>
                </c:pt>
                <c:pt idx="2">
                  <c:v>820</c:v>
                </c:pt>
              </c:numCache>
            </c:numRef>
          </c:val>
        </c:ser>
        <c:gapWidth val="75"/>
        <c:shape val="box"/>
        <c:axId val="218827008"/>
        <c:axId val="218839296"/>
        <c:axId val="0"/>
      </c:bar3DChart>
      <c:catAx>
        <c:axId val="218827008"/>
        <c:scaling>
          <c:orientation val="minMax"/>
        </c:scaling>
        <c:axPos val="b"/>
        <c:numFmt formatCode="General" sourceLinked="0"/>
        <c:majorTickMark val="none"/>
        <c:tickLblPos val="nextTo"/>
        <c:crossAx val="218839296"/>
        <c:crosses val="autoZero"/>
        <c:auto val="1"/>
        <c:lblAlgn val="ctr"/>
        <c:lblOffset val="100"/>
      </c:catAx>
      <c:valAx>
        <c:axId val="218839296"/>
        <c:scaling>
          <c:orientation val="minMax"/>
        </c:scaling>
        <c:axPos val="l"/>
        <c:majorGridlines/>
        <c:numFmt formatCode="General" sourceLinked="1"/>
        <c:majorTickMark val="none"/>
        <c:tickLblPos val="nextTo"/>
        <c:spPr>
          <a:ln w="9525">
            <a:noFill/>
          </a:ln>
        </c:spPr>
        <c:crossAx val="218827008"/>
        <c:crosses val="autoZero"/>
        <c:crossBetween val="between"/>
        <c:majorUnit val="200"/>
      </c:valAx>
    </c:plotArea>
    <c:legend>
      <c:legendPos val="b"/>
    </c:legend>
    <c:plotVisOnly val="1"/>
    <c:dispBlanksAs val="gap"/>
  </c:chart>
  <c:txPr>
    <a:bodyPr/>
    <a:lstStyle/>
    <a:p>
      <a:pPr>
        <a:defRPr>
          <a:latin typeface="Times New Roman" pitchFamily="18" charset="0"/>
          <a:cs typeface="Times New Roman" pitchFamily="18" charset="0"/>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manualLayout>
          <c:layoutTarget val="inner"/>
          <c:xMode val="edge"/>
          <c:yMode val="edge"/>
          <c:x val="0.11668744531933505"/>
          <c:y val="6.9565217391304404E-2"/>
          <c:w val="0.83895844269466535"/>
          <c:h val="0.70734027811740963"/>
        </c:manualLayout>
      </c:layout>
      <c:bar3DChart>
        <c:barDir val="col"/>
        <c:grouping val="clustered"/>
        <c:ser>
          <c:idx val="1"/>
          <c:order val="0"/>
          <c:tx>
            <c:strRef>
              <c:f>'图6-1图7'!$B$1</c:f>
              <c:strCache>
                <c:ptCount val="1"/>
                <c:pt idx="0">
                  <c:v>2018年第二季度报告数量</c:v>
                </c:pt>
              </c:strCache>
            </c:strRef>
          </c:tx>
          <c:dLbls>
            <c:spPr>
              <a:noFill/>
              <a:ln>
                <a:noFill/>
              </a:ln>
              <a:effectLst/>
            </c:spPr>
            <c:showVal val="1"/>
            <c:extLst>
              <c:ext xmlns:c15="http://schemas.microsoft.com/office/drawing/2012/chart" uri="{CE6537A1-D6FC-4f65-9D91-7224C49458BB}">
                <c15:layout/>
                <c15:showLeaderLines val="0"/>
              </c:ext>
            </c:extLst>
          </c:dLbls>
          <c:cat>
            <c:strRef>
              <c:f>'图6-1图7'!$A$2:$A$4</c:f>
              <c:strCache>
                <c:ptCount val="3"/>
                <c:pt idx="0">
                  <c:v>经营企业</c:v>
                </c:pt>
                <c:pt idx="1">
                  <c:v>生产企业</c:v>
                </c:pt>
                <c:pt idx="2">
                  <c:v>使用单位</c:v>
                </c:pt>
              </c:strCache>
            </c:strRef>
          </c:cat>
          <c:val>
            <c:numRef>
              <c:f>'图6-1图7'!$B$2:$B$4</c:f>
              <c:numCache>
                <c:formatCode>General</c:formatCode>
                <c:ptCount val="3"/>
                <c:pt idx="0">
                  <c:v>129</c:v>
                </c:pt>
                <c:pt idx="1">
                  <c:v>782</c:v>
                </c:pt>
                <c:pt idx="2">
                  <c:v>689</c:v>
                </c:pt>
              </c:numCache>
            </c:numRef>
          </c:val>
        </c:ser>
        <c:ser>
          <c:idx val="0"/>
          <c:order val="1"/>
          <c:tx>
            <c:strRef>
              <c:f>'图6-1图7'!$C$1</c:f>
              <c:strCache>
                <c:ptCount val="1"/>
                <c:pt idx="0">
                  <c:v>2018年第三季度报告数量</c:v>
                </c:pt>
              </c:strCache>
            </c:strRef>
          </c:tx>
          <c:dLbls>
            <c:spPr>
              <a:noFill/>
              <a:ln>
                <a:noFill/>
              </a:ln>
              <a:effectLst/>
            </c:spPr>
            <c:showVal val="1"/>
            <c:extLst>
              <c:ext xmlns:c15="http://schemas.microsoft.com/office/drawing/2012/chart" uri="{CE6537A1-D6FC-4f65-9D91-7224C49458BB}">
                <c15:layout/>
                <c15:showLeaderLines val="0"/>
              </c:ext>
            </c:extLst>
          </c:dLbls>
          <c:cat>
            <c:strRef>
              <c:f>'图6-1图7'!$A$2:$A$4</c:f>
              <c:strCache>
                <c:ptCount val="3"/>
                <c:pt idx="0">
                  <c:v>经营企业</c:v>
                </c:pt>
                <c:pt idx="1">
                  <c:v>生产企业</c:v>
                </c:pt>
                <c:pt idx="2">
                  <c:v>使用单位</c:v>
                </c:pt>
              </c:strCache>
            </c:strRef>
          </c:cat>
          <c:val>
            <c:numRef>
              <c:f>'图6-1图7'!$C$2:$C$4</c:f>
              <c:numCache>
                <c:formatCode>General</c:formatCode>
                <c:ptCount val="3"/>
                <c:pt idx="0">
                  <c:v>321</c:v>
                </c:pt>
                <c:pt idx="1">
                  <c:v>1403</c:v>
                </c:pt>
                <c:pt idx="2">
                  <c:v>820</c:v>
                </c:pt>
              </c:numCache>
            </c:numRef>
          </c:val>
        </c:ser>
        <c:shape val="box"/>
        <c:axId val="248317056"/>
        <c:axId val="248320000"/>
        <c:axId val="0"/>
      </c:bar3DChart>
      <c:catAx>
        <c:axId val="248317056"/>
        <c:scaling>
          <c:orientation val="minMax"/>
        </c:scaling>
        <c:axPos val="b"/>
        <c:numFmt formatCode="General" sourceLinked="0"/>
        <c:tickLblPos val="nextTo"/>
        <c:crossAx val="248320000"/>
        <c:crosses val="autoZero"/>
        <c:auto val="1"/>
        <c:lblAlgn val="ctr"/>
        <c:lblOffset val="100"/>
      </c:catAx>
      <c:valAx>
        <c:axId val="248320000"/>
        <c:scaling>
          <c:orientation val="minMax"/>
        </c:scaling>
        <c:axPos val="l"/>
        <c:majorGridlines/>
        <c:numFmt formatCode="General" sourceLinked="1"/>
        <c:tickLblPos val="nextTo"/>
        <c:crossAx val="248317056"/>
        <c:crosses val="autoZero"/>
        <c:crossBetween val="between"/>
      </c:valAx>
    </c:plotArea>
    <c:legend>
      <c:legendPos val="r"/>
      <c:layout>
        <c:manualLayout>
          <c:xMode val="edge"/>
          <c:yMode val="edge"/>
          <c:x val="0.11675699912510942"/>
          <c:y val="0.89337539329322968"/>
          <c:w val="0.77768744531933565"/>
          <c:h val="8.0605576476853916E-2"/>
        </c:manualLayout>
      </c:layout>
    </c:legend>
    <c:plotVisOnly val="1"/>
    <c:dispBlanksAs val="gap"/>
  </c:chart>
  <c:txPr>
    <a:bodyPr/>
    <a:lstStyle/>
    <a:p>
      <a:pPr>
        <a:defRPr>
          <a:latin typeface="Times New Roman" pitchFamily="18" charset="0"/>
          <a:cs typeface="Times New Roman" pitchFamily="18" charset="0"/>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autoTitleDeleted val="1"/>
    <c:plotArea>
      <c:layout>
        <c:manualLayout>
          <c:layoutTarget val="inner"/>
          <c:xMode val="edge"/>
          <c:yMode val="edge"/>
          <c:x val="0.26805555555555555"/>
          <c:y val="0.18287037037037041"/>
          <c:w val="0.42222222222222322"/>
          <c:h val="0.70370370370370372"/>
        </c:manualLayout>
      </c:layout>
      <c:pieChart>
        <c:varyColors val="1"/>
        <c:ser>
          <c:idx val="0"/>
          <c:order val="0"/>
          <c:tx>
            <c:strRef>
              <c:f>图9!$B$1</c:f>
              <c:strCache>
                <c:ptCount val="1"/>
                <c:pt idx="0">
                  <c:v>报告数量</c:v>
                </c:pt>
              </c:strCache>
            </c:strRef>
          </c:tx>
          <c:dPt>
            <c:idx val="1"/>
            <c:explosion val="6"/>
          </c:dPt>
          <c:dLbls>
            <c:dLbl>
              <c:idx val="0"/>
              <c:layout>
                <c:manualLayout>
                  <c:x val="2.5000000000000001E-2"/>
                  <c:y val="-5.0925925925925923E-2"/>
                </c:manualLayout>
              </c:layout>
              <c:dLblPos val="bestFit"/>
              <c:showVal val="1"/>
              <c:showCatName val="1"/>
              <c:showPercent val="1"/>
              <c:extLst>
                <c:ext xmlns:c15="http://schemas.microsoft.com/office/drawing/2012/chart" uri="{CE6537A1-D6FC-4f65-9D91-7224C49458BB}">
                  <c15:layout/>
                </c:ext>
              </c:extLst>
            </c:dLbl>
            <c:dLbl>
              <c:idx val="1"/>
              <c:layout>
                <c:manualLayout>
                  <c:x val="6.6666666666666763E-2"/>
                  <c:y val="-1.3888888888888959E-2"/>
                </c:manualLayout>
              </c:layout>
              <c:dLblPos val="bestFit"/>
              <c:showVal val="1"/>
              <c:showCatName val="1"/>
              <c:showPercent val="1"/>
              <c:extLst>
                <c:ext xmlns:c15="http://schemas.microsoft.com/office/drawing/2012/chart" uri="{CE6537A1-D6FC-4f65-9D91-7224C49458BB}">
                  <c15:layout/>
                </c:ext>
              </c:extLst>
            </c:dLbl>
            <c:dLbl>
              <c:idx val="2"/>
              <c:layout>
                <c:manualLayout>
                  <c:x val="-6.3888888888888884E-2"/>
                  <c:y val="-1.851851851851867E-2"/>
                </c:manualLayout>
              </c:layout>
              <c:dLblPos val="bestFit"/>
              <c:showVal val="1"/>
              <c:showCatName val="1"/>
              <c:showPercent val="1"/>
              <c:extLst>
                <c:ext xmlns:c15="http://schemas.microsoft.com/office/drawing/2012/chart" uri="{CE6537A1-D6FC-4f65-9D91-7224C49458BB}">
                  <c15:layout/>
                </c:ext>
              </c:extLst>
            </c:dLbl>
            <c:numFmt formatCode="0.00%" sourceLinked="0"/>
            <c:spPr>
              <a:noFill/>
              <a:ln>
                <a:noFill/>
              </a:ln>
              <a:effectLst/>
            </c:spPr>
            <c:dLblPos val="outEnd"/>
            <c:showVal val="1"/>
            <c:showCatName val="1"/>
            <c:showPercent val="1"/>
            <c:showLeaderLines val="1"/>
            <c:extLst>
              <c:ext xmlns:c15="http://schemas.microsoft.com/office/drawing/2012/chart" uri="{CE6537A1-D6FC-4f65-9D91-7224C49458BB}"/>
            </c:extLst>
          </c:dLbls>
          <c:cat>
            <c:strRef>
              <c:f>图9!$A$2:$A$4</c:f>
              <c:strCache>
                <c:ptCount val="3"/>
                <c:pt idx="0">
                  <c:v>I类</c:v>
                </c:pt>
                <c:pt idx="1">
                  <c:v>II类</c:v>
                </c:pt>
                <c:pt idx="2">
                  <c:v>III类</c:v>
                </c:pt>
              </c:strCache>
            </c:strRef>
          </c:cat>
          <c:val>
            <c:numRef>
              <c:f>图9!$B$2:$B$4</c:f>
              <c:numCache>
                <c:formatCode>General</c:formatCode>
                <c:ptCount val="3"/>
                <c:pt idx="0">
                  <c:v>110</c:v>
                </c:pt>
                <c:pt idx="1">
                  <c:v>911</c:v>
                </c:pt>
                <c:pt idx="2">
                  <c:v>1523</c:v>
                </c:pt>
              </c:numCache>
            </c:numRef>
          </c:val>
        </c:ser>
        <c:dLbls>
          <c:showVal val="1"/>
        </c:dLbls>
        <c:firstSliceAng val="0"/>
      </c:pieChart>
    </c:plotArea>
    <c:plotVisOnly val="1"/>
    <c:dispBlanksAs val="zero"/>
  </c:chart>
  <c:txPr>
    <a:bodyPr/>
    <a:lstStyle/>
    <a:p>
      <a:pPr>
        <a:defRPr>
          <a:latin typeface="Times New Roman" pitchFamily="18" charset="0"/>
          <a:cs typeface="Times New Roman" pitchFamily="18" charset="0"/>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style val="10"/>
  <c:chart>
    <c:autoTitleDeleted val="1"/>
    <c:view3D>
      <c:rotX val="30"/>
      <c:perspective val="30"/>
    </c:view3D>
    <c:plotArea>
      <c:layout>
        <c:manualLayout>
          <c:layoutTarget val="inner"/>
          <c:xMode val="edge"/>
          <c:yMode val="edge"/>
          <c:x val="0.2013888888888889"/>
          <c:y val="0.28935185185185291"/>
          <c:w val="0.62500000000000211"/>
          <c:h val="0.59259259259259267"/>
        </c:manualLayout>
      </c:layout>
      <c:pie3DChart>
        <c:varyColors val="1"/>
        <c:ser>
          <c:idx val="0"/>
          <c:order val="0"/>
          <c:tx>
            <c:strRef>
              <c:f>图10!$B$1</c:f>
              <c:strCache>
                <c:ptCount val="1"/>
                <c:pt idx="0">
                  <c:v>涉及上海产品的报告数量</c:v>
                </c:pt>
              </c:strCache>
            </c:strRef>
          </c:tx>
          <c:dPt>
            <c:idx val="0"/>
            <c:explosion val="7"/>
          </c:dPt>
          <c:dPt>
            <c:idx val="1"/>
            <c:explosion val="15"/>
          </c:dPt>
          <c:dLbls>
            <c:dLbl>
              <c:idx val="0"/>
              <c:layout>
                <c:manualLayout>
                  <c:x val="5.2163604549431634E-2"/>
                  <c:y val="3.1057159521726638E-2"/>
                </c:manualLayout>
              </c:layout>
              <c:showVal val="1"/>
              <c:showCatName val="1"/>
              <c:showPercent val="1"/>
              <c:extLst>
                <c:ext xmlns:c15="http://schemas.microsoft.com/office/drawing/2012/chart" uri="{CE6537A1-D6FC-4f65-9D91-7224C49458BB}">
                  <c15:layout/>
                </c:ext>
              </c:extLst>
            </c:dLbl>
            <c:dLbl>
              <c:idx val="1"/>
              <c:layout>
                <c:manualLayout>
                  <c:x val="-5.6437664041994934E-2"/>
                  <c:y val="-1.3829833770778661E-2"/>
                </c:manualLayout>
              </c:layout>
              <c:showVal val="1"/>
              <c:showCatName val="1"/>
              <c:showPercent val="1"/>
              <c:extLst>
                <c:ext xmlns:c15="http://schemas.microsoft.com/office/drawing/2012/chart" uri="{CE6537A1-D6FC-4f65-9D91-7224C49458BB}">
                  <c15:layout/>
                </c:ext>
              </c:extLst>
            </c:dLbl>
            <c:dLbl>
              <c:idx val="2"/>
              <c:layout>
                <c:manualLayout>
                  <c:x val="8.6512467191601064E-2"/>
                  <c:y val="-0.11359725867599883"/>
                </c:manualLayout>
              </c:layout>
              <c:showVal val="1"/>
              <c:showCatName val="1"/>
              <c:showPercent val="1"/>
              <c:extLst>
                <c:ext xmlns:c15="http://schemas.microsoft.com/office/drawing/2012/chart" uri="{CE6537A1-D6FC-4f65-9D91-7224C49458BB}">
                  <c15:layout/>
                </c:ext>
              </c:extLst>
            </c:dLbl>
            <c:numFmt formatCode="0.00%" sourceLinked="0"/>
            <c:spPr>
              <a:noFill/>
              <a:ln>
                <a:noFill/>
              </a:ln>
              <a:effectLst/>
            </c:spPr>
            <c:showVal val="1"/>
            <c:showCatName val="1"/>
            <c:showPercent val="1"/>
            <c:showLeaderLines val="1"/>
            <c:extLst>
              <c:ext xmlns:c15="http://schemas.microsoft.com/office/drawing/2012/chart" uri="{CE6537A1-D6FC-4f65-9D91-7224C49458BB}"/>
            </c:extLst>
          </c:dLbls>
          <c:cat>
            <c:strRef>
              <c:f>图10!$A$2:$A$4</c:f>
              <c:strCache>
                <c:ptCount val="3"/>
                <c:pt idx="0">
                  <c:v>III类</c:v>
                </c:pt>
                <c:pt idx="1">
                  <c:v>II类</c:v>
                </c:pt>
                <c:pt idx="2">
                  <c:v>I类</c:v>
                </c:pt>
              </c:strCache>
            </c:strRef>
          </c:cat>
          <c:val>
            <c:numRef>
              <c:f>图10!$B$2:$B$4</c:f>
              <c:numCache>
                <c:formatCode>General</c:formatCode>
                <c:ptCount val="3"/>
                <c:pt idx="0">
                  <c:v>1243</c:v>
                </c:pt>
                <c:pt idx="1">
                  <c:v>473</c:v>
                </c:pt>
                <c:pt idx="2">
                  <c:v>32</c:v>
                </c:pt>
              </c:numCache>
            </c:numRef>
          </c:val>
        </c:ser>
        <c:dLbls>
          <c:showCatName val="1"/>
          <c:showPercent val="1"/>
        </c:dLbls>
      </c:pie3DChart>
    </c:plotArea>
    <c:plotVisOnly val="1"/>
    <c:dispBlanksAs val="zero"/>
  </c:chart>
  <c:txPr>
    <a:bodyPr/>
    <a:lstStyle/>
    <a:p>
      <a:pPr>
        <a:defRPr>
          <a:latin typeface="Times New Roman" pitchFamily="18" charset="0"/>
          <a:cs typeface="Times New Roman" pitchFamily="18" charset="0"/>
        </a:defRPr>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75"/>
      <c:perspective val="30"/>
    </c:view3D>
    <c:plotArea>
      <c:layout>
        <c:manualLayout>
          <c:layoutTarget val="inner"/>
          <c:xMode val="edge"/>
          <c:yMode val="edge"/>
          <c:x val="0.26805555555555555"/>
          <c:y val="0.19675925925925927"/>
          <c:w val="0.41388888888889097"/>
          <c:h val="0.68981481481481666"/>
        </c:manualLayout>
      </c:layout>
      <c:pie3DChart>
        <c:varyColors val="1"/>
        <c:ser>
          <c:idx val="0"/>
          <c:order val="0"/>
          <c:tx>
            <c:strRef>
              <c:f>图11!$B$1</c:f>
              <c:strCache>
                <c:ptCount val="1"/>
                <c:pt idx="0">
                  <c:v>报告数量</c:v>
                </c:pt>
              </c:strCache>
            </c:strRef>
          </c:tx>
          <c:dLbls>
            <c:dLbl>
              <c:idx val="0"/>
              <c:layout>
                <c:manualLayout>
                  <c:x val="0.19340769903762084"/>
                  <c:y val="-0.23817913385826794"/>
                </c:manualLayout>
              </c:layout>
              <c:showVal val="1"/>
              <c:showCatName val="1"/>
              <c:showPercent val="1"/>
              <c:extLst>
                <c:ext xmlns:c15="http://schemas.microsoft.com/office/drawing/2012/chart" uri="{CE6537A1-D6FC-4f65-9D91-7224C49458BB}">
                  <c15:layout/>
                </c:ext>
              </c:extLst>
            </c:dLbl>
            <c:dLbl>
              <c:idx val="1"/>
              <c:layout>
                <c:manualLayout>
                  <c:x val="-9.4444444444444525E-2"/>
                  <c:y val="2.7919218431029635E-2"/>
                </c:manualLayout>
              </c:layout>
              <c:showVal val="1"/>
              <c:showCatName val="1"/>
              <c:showPercent val="1"/>
              <c:extLst>
                <c:ext xmlns:c15="http://schemas.microsoft.com/office/drawing/2012/chart" uri="{CE6537A1-D6FC-4f65-9D91-7224C49458BB}">
                  <c15:layout/>
                </c:ext>
              </c:extLst>
            </c:dLbl>
            <c:dLbl>
              <c:idx val="2"/>
              <c:layout>
                <c:manualLayout>
                  <c:x val="0.11944444444444446"/>
                  <c:y val="-9.8218139399241761E-2"/>
                </c:manualLayout>
              </c:layout>
              <c:showVal val="1"/>
              <c:showCatName val="1"/>
              <c:showPercent val="1"/>
              <c:extLst>
                <c:ext xmlns:c15="http://schemas.microsoft.com/office/drawing/2012/chart" uri="{CE6537A1-D6FC-4f65-9D91-7224C49458BB}">
                  <c15:layout/>
                </c:ext>
              </c:extLst>
            </c:dLbl>
            <c:numFmt formatCode="0.00%" sourceLinked="0"/>
            <c:spPr>
              <a:noFill/>
              <a:ln>
                <a:noFill/>
              </a:ln>
              <a:effectLst/>
            </c:spPr>
            <c:showVal val="1"/>
            <c:showCatName val="1"/>
            <c:showPercent val="1"/>
            <c:showLeaderLines val="1"/>
            <c:extLst>
              <c:ext xmlns:c15="http://schemas.microsoft.com/office/drawing/2012/chart" uri="{CE6537A1-D6FC-4f65-9D91-7224C49458BB}"/>
            </c:extLst>
          </c:dLbls>
          <c:cat>
            <c:strRef>
              <c:f>图11!$A$2:$A$4</c:f>
              <c:strCache>
                <c:ptCount val="3"/>
                <c:pt idx="0">
                  <c:v>医疗机构</c:v>
                </c:pt>
                <c:pt idx="1">
                  <c:v>家庭</c:v>
                </c:pt>
                <c:pt idx="2">
                  <c:v>其他</c:v>
                </c:pt>
              </c:strCache>
            </c:strRef>
          </c:cat>
          <c:val>
            <c:numRef>
              <c:f>图11!$B$2:$B$4</c:f>
              <c:numCache>
                <c:formatCode>General</c:formatCode>
                <c:ptCount val="3"/>
                <c:pt idx="0">
                  <c:v>2192</c:v>
                </c:pt>
                <c:pt idx="1">
                  <c:v>295</c:v>
                </c:pt>
                <c:pt idx="2">
                  <c:v>57</c:v>
                </c:pt>
              </c:numCache>
            </c:numRef>
          </c:val>
        </c:ser>
        <c:dLbls>
          <c:showVal val="1"/>
        </c:dLbls>
      </c:pie3DChart>
    </c:plotArea>
    <c:plotVisOnly val="1"/>
    <c:dispBlanksAs val="zero"/>
  </c:chart>
  <c:txPr>
    <a:bodyPr/>
    <a:lstStyle/>
    <a:p>
      <a:pPr>
        <a:defRPr>
          <a:latin typeface="Times New Roman" pitchFamily="18" charset="0"/>
          <a:cs typeface="Times New Roman" pitchFamily="18" charset="0"/>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33C3E-54E2-4D24-9EB8-E2FE7378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1870</TotalTime>
  <Pages>6</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adrzhlx</dc:creator>
  <cp:keywords/>
  <dc:description/>
  <cp:lastModifiedBy>adrzhlx</cp:lastModifiedBy>
  <cp:revision>44</cp:revision>
  <dcterms:created xsi:type="dcterms:W3CDTF">2017-03-16T05:27:00Z</dcterms:created>
  <dcterms:modified xsi:type="dcterms:W3CDTF">2018-10-10T08:47:00Z</dcterms:modified>
</cp:coreProperties>
</file>