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05" w:rsidRDefault="00C42905" w:rsidP="00A16711">
      <w:pPr>
        <w:widowControl/>
        <w:shd w:val="clear" w:color="auto" w:fill="FFFFFF"/>
        <w:spacing w:before="100" w:beforeAutospacing="1" w:after="100" w:afterAutospacing="1"/>
        <w:jc w:val="center"/>
        <w:rPr>
          <w:rFonts w:ascii="Times New Roman" w:hAnsiTheme="minorEastAsia" w:cs="Times New Roman"/>
          <w:sz w:val="28"/>
          <w:szCs w:val="21"/>
        </w:rPr>
      </w:pPr>
      <w:bookmarkStart w:id="0" w:name="OLE_LINK1"/>
      <w:bookmarkStart w:id="1" w:name="OLE_LINK2"/>
    </w:p>
    <w:p w:rsidR="00C42905" w:rsidRDefault="00C42905" w:rsidP="00A16711">
      <w:pPr>
        <w:widowControl/>
        <w:shd w:val="clear" w:color="auto" w:fill="FFFFFF"/>
        <w:spacing w:before="100" w:beforeAutospacing="1" w:after="100" w:afterAutospacing="1"/>
        <w:jc w:val="center"/>
        <w:rPr>
          <w:rFonts w:ascii="Times New Roman" w:hAnsiTheme="minorEastAsia" w:cs="Times New Roman"/>
          <w:sz w:val="28"/>
          <w:szCs w:val="21"/>
        </w:rPr>
      </w:pPr>
    </w:p>
    <w:p w:rsidR="00C42905" w:rsidRDefault="00C42905" w:rsidP="00A16711">
      <w:pPr>
        <w:widowControl/>
        <w:shd w:val="clear" w:color="auto" w:fill="FFFFFF"/>
        <w:spacing w:before="100" w:beforeAutospacing="1" w:after="100" w:afterAutospacing="1"/>
        <w:jc w:val="center"/>
        <w:rPr>
          <w:rFonts w:ascii="Times New Roman" w:hAnsiTheme="minorEastAsia" w:cs="Times New Roman"/>
          <w:sz w:val="28"/>
          <w:szCs w:val="21"/>
        </w:rPr>
      </w:pPr>
    </w:p>
    <w:p w:rsidR="00A16711" w:rsidRPr="00C42905" w:rsidRDefault="00A16711" w:rsidP="00A16711">
      <w:pPr>
        <w:widowControl/>
        <w:shd w:val="clear" w:color="auto" w:fill="FFFFFF"/>
        <w:spacing w:before="100" w:beforeAutospacing="1" w:after="100" w:afterAutospacing="1"/>
        <w:jc w:val="center"/>
        <w:rPr>
          <w:rFonts w:ascii="方正小标宋简体" w:eastAsia="方正小标宋简体" w:hAnsiTheme="minorEastAsia" w:cs="Times New Roman"/>
          <w:sz w:val="48"/>
          <w:szCs w:val="21"/>
        </w:rPr>
      </w:pPr>
      <w:r w:rsidRPr="00C42905">
        <w:rPr>
          <w:rFonts w:ascii="方正小标宋简体" w:eastAsia="方正小标宋简体" w:hAnsiTheme="minorEastAsia" w:cs="Times New Roman" w:hint="eastAsia"/>
          <w:sz w:val="48"/>
          <w:szCs w:val="21"/>
        </w:rPr>
        <w:t>上海市医疗器械不良事件监测年度报告</w:t>
      </w:r>
    </w:p>
    <w:p w:rsidR="00C42905" w:rsidRDefault="00C42905" w:rsidP="00A16711">
      <w:pPr>
        <w:widowControl/>
        <w:shd w:val="clear" w:color="auto" w:fill="FFFFFF"/>
        <w:spacing w:before="100" w:beforeAutospacing="1" w:after="100" w:afterAutospacing="1"/>
        <w:jc w:val="center"/>
        <w:rPr>
          <w:rFonts w:ascii="Times New Roman" w:hAnsiTheme="minorEastAsia" w:cs="Times New Roman"/>
          <w:sz w:val="28"/>
          <w:szCs w:val="21"/>
        </w:rPr>
      </w:pPr>
    </w:p>
    <w:p w:rsidR="00C42905" w:rsidRDefault="00C42905" w:rsidP="00A16711">
      <w:pPr>
        <w:widowControl/>
        <w:shd w:val="clear" w:color="auto" w:fill="FFFFFF"/>
        <w:spacing w:before="100" w:beforeAutospacing="1" w:after="100" w:afterAutospacing="1"/>
        <w:jc w:val="center"/>
        <w:rPr>
          <w:rFonts w:ascii="Times New Roman" w:hAnsiTheme="minorEastAsia" w:cs="Times New Roman"/>
          <w:sz w:val="28"/>
          <w:szCs w:val="21"/>
        </w:rPr>
      </w:pPr>
    </w:p>
    <w:p w:rsidR="00C42905" w:rsidRPr="00C42905" w:rsidRDefault="00C42905" w:rsidP="00A16711">
      <w:pPr>
        <w:widowControl/>
        <w:shd w:val="clear" w:color="auto" w:fill="FFFFFF"/>
        <w:spacing w:before="100" w:beforeAutospacing="1" w:after="100" w:afterAutospacing="1"/>
        <w:jc w:val="center"/>
        <w:rPr>
          <w:rFonts w:ascii="Times New Roman" w:hAnsi="Times New Roman" w:cs="Times New Roman"/>
          <w:sz w:val="48"/>
          <w:szCs w:val="21"/>
        </w:rPr>
      </w:pPr>
    </w:p>
    <w:p w:rsidR="00C42905" w:rsidRPr="00C42905" w:rsidRDefault="00A16711" w:rsidP="00C42905">
      <w:pPr>
        <w:widowControl/>
        <w:shd w:val="clear" w:color="auto" w:fill="FFFFFF"/>
        <w:jc w:val="center"/>
        <w:outlineLvl w:val="0"/>
        <w:rPr>
          <w:rFonts w:ascii="方正小标宋简体" w:eastAsia="方正小标宋简体" w:hAnsi="Times New Roman" w:cs="Times New Roman"/>
          <w:sz w:val="48"/>
          <w:szCs w:val="21"/>
        </w:rPr>
      </w:pPr>
      <w:r w:rsidRPr="00C42905">
        <w:rPr>
          <w:rFonts w:ascii="方正小标宋简体" w:eastAsia="方正小标宋简体" w:hAnsi="Times New Roman" w:cs="Times New Roman" w:hint="eastAsia"/>
          <w:sz w:val="48"/>
          <w:szCs w:val="21"/>
        </w:rPr>
        <w:t>2017</w:t>
      </w:r>
    </w:p>
    <w:p w:rsidR="00A16711" w:rsidRPr="00C42905" w:rsidRDefault="00C42905" w:rsidP="00C42905">
      <w:pPr>
        <w:widowControl/>
        <w:shd w:val="clear" w:color="auto" w:fill="FFFFFF"/>
        <w:jc w:val="center"/>
        <w:outlineLvl w:val="0"/>
        <w:rPr>
          <w:rFonts w:ascii="方正小标宋简体" w:eastAsia="方正小标宋简体" w:hAnsiTheme="minorEastAsia" w:cs="Times New Roman"/>
          <w:sz w:val="48"/>
          <w:szCs w:val="21"/>
        </w:rPr>
      </w:pPr>
      <w:r w:rsidRPr="00C42905">
        <w:rPr>
          <w:rFonts w:ascii="方正小标宋简体" w:eastAsia="方正小标宋简体" w:hAnsiTheme="minorEastAsia" w:cs="Times New Roman" w:hint="eastAsia"/>
          <w:sz w:val="48"/>
          <w:szCs w:val="21"/>
        </w:rPr>
        <w:t>（</w:t>
      </w:r>
      <w:r w:rsidR="00A16711" w:rsidRPr="00C42905">
        <w:rPr>
          <w:rFonts w:ascii="方正小标宋简体" w:eastAsia="方正小标宋简体" w:hAnsiTheme="minorEastAsia" w:cs="Times New Roman" w:hint="eastAsia"/>
          <w:sz w:val="48"/>
          <w:szCs w:val="21"/>
        </w:rPr>
        <w:t>公众版）</w:t>
      </w:r>
    </w:p>
    <w:p w:rsidR="00C42905" w:rsidRDefault="00C42905" w:rsidP="00C42905">
      <w:pPr>
        <w:widowControl/>
        <w:shd w:val="clear" w:color="auto" w:fill="FFFFFF"/>
        <w:jc w:val="center"/>
        <w:outlineLvl w:val="0"/>
        <w:rPr>
          <w:rFonts w:ascii="Times New Roman" w:hAnsiTheme="minorEastAsia" w:cs="Times New Roman"/>
          <w:sz w:val="28"/>
          <w:szCs w:val="21"/>
        </w:rPr>
      </w:pPr>
    </w:p>
    <w:p w:rsidR="00C42905" w:rsidRDefault="00C42905" w:rsidP="00C42905">
      <w:pPr>
        <w:widowControl/>
        <w:shd w:val="clear" w:color="auto" w:fill="FFFFFF"/>
        <w:jc w:val="center"/>
        <w:outlineLvl w:val="0"/>
        <w:rPr>
          <w:rFonts w:ascii="Times New Roman" w:hAnsiTheme="minorEastAsia" w:cs="Times New Roman"/>
          <w:sz w:val="28"/>
          <w:szCs w:val="21"/>
        </w:rPr>
      </w:pPr>
    </w:p>
    <w:p w:rsidR="00C42905" w:rsidRDefault="00C42905" w:rsidP="00C42905">
      <w:pPr>
        <w:widowControl/>
        <w:shd w:val="clear" w:color="auto" w:fill="FFFFFF"/>
        <w:jc w:val="center"/>
        <w:outlineLvl w:val="0"/>
        <w:rPr>
          <w:rFonts w:ascii="Times New Roman" w:hAnsiTheme="minorEastAsia" w:cs="Times New Roman"/>
          <w:sz w:val="28"/>
          <w:szCs w:val="21"/>
        </w:rPr>
      </w:pPr>
    </w:p>
    <w:p w:rsidR="00C42905" w:rsidRDefault="00C42905" w:rsidP="00C42905">
      <w:pPr>
        <w:widowControl/>
        <w:shd w:val="clear" w:color="auto" w:fill="FFFFFF"/>
        <w:jc w:val="center"/>
        <w:outlineLvl w:val="0"/>
        <w:rPr>
          <w:rFonts w:ascii="Times New Roman" w:hAnsiTheme="minorEastAsia" w:cs="Times New Roman"/>
          <w:sz w:val="28"/>
          <w:szCs w:val="21"/>
        </w:rPr>
      </w:pPr>
    </w:p>
    <w:p w:rsidR="00C42905" w:rsidRDefault="00C42905" w:rsidP="00C42905">
      <w:pPr>
        <w:widowControl/>
        <w:shd w:val="clear" w:color="auto" w:fill="FFFFFF"/>
        <w:jc w:val="center"/>
        <w:outlineLvl w:val="0"/>
        <w:rPr>
          <w:rFonts w:ascii="Times New Roman" w:hAnsiTheme="minorEastAsia" w:cs="Times New Roman"/>
          <w:sz w:val="28"/>
          <w:szCs w:val="21"/>
        </w:rPr>
      </w:pPr>
    </w:p>
    <w:p w:rsidR="00C42905" w:rsidRDefault="00C42905" w:rsidP="00C42905">
      <w:pPr>
        <w:widowControl/>
        <w:shd w:val="clear" w:color="auto" w:fill="FFFFFF"/>
        <w:jc w:val="center"/>
        <w:outlineLvl w:val="0"/>
        <w:rPr>
          <w:rFonts w:ascii="Times New Roman" w:hAnsiTheme="minorEastAsia" w:cs="Times New Roman"/>
          <w:sz w:val="28"/>
          <w:szCs w:val="21"/>
        </w:rPr>
      </w:pPr>
    </w:p>
    <w:p w:rsidR="00C42905" w:rsidRPr="00C42905" w:rsidRDefault="00C42905" w:rsidP="00C42905">
      <w:pPr>
        <w:widowControl/>
        <w:shd w:val="clear" w:color="auto" w:fill="FFFFFF"/>
        <w:jc w:val="center"/>
        <w:outlineLvl w:val="0"/>
        <w:rPr>
          <w:rFonts w:ascii="方正小标宋简体" w:eastAsia="方正小标宋简体" w:hAnsiTheme="minorEastAsia" w:cs="Times New Roman"/>
          <w:sz w:val="28"/>
          <w:szCs w:val="21"/>
        </w:rPr>
      </w:pPr>
      <w:r w:rsidRPr="00C42905">
        <w:rPr>
          <w:rFonts w:ascii="方正小标宋简体" w:eastAsia="方正小标宋简体" w:hAnsiTheme="minorEastAsia" w:cs="Times New Roman" w:hint="eastAsia"/>
          <w:sz w:val="28"/>
          <w:szCs w:val="21"/>
        </w:rPr>
        <w:t>上海市药品和医疗器械不良反应监测中心</w:t>
      </w:r>
    </w:p>
    <w:p w:rsidR="003111E8" w:rsidRDefault="00C42905" w:rsidP="00C42905">
      <w:pPr>
        <w:widowControl/>
        <w:shd w:val="clear" w:color="auto" w:fill="FFFFFF"/>
        <w:jc w:val="center"/>
        <w:outlineLvl w:val="0"/>
        <w:rPr>
          <w:rFonts w:ascii="方正小标宋简体" w:eastAsia="方正小标宋简体" w:hAnsiTheme="minorEastAsia" w:cs="Times New Roman"/>
          <w:sz w:val="28"/>
          <w:szCs w:val="21"/>
        </w:rPr>
        <w:sectPr w:rsidR="003111E8" w:rsidSect="00A1671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r w:rsidRPr="00C42905">
        <w:rPr>
          <w:rFonts w:ascii="方正小标宋简体" w:eastAsia="方正小标宋简体" w:hAnsiTheme="minorEastAsia" w:cs="Times New Roman" w:hint="eastAsia"/>
          <w:sz w:val="28"/>
          <w:szCs w:val="21"/>
        </w:rPr>
        <w:t>2018.4</w:t>
      </w:r>
    </w:p>
    <w:p w:rsidR="003111E8" w:rsidRPr="003111E8" w:rsidRDefault="003111E8" w:rsidP="003111E8">
      <w:pPr>
        <w:widowControl/>
        <w:shd w:val="clear" w:color="auto" w:fill="FFFFFF"/>
        <w:spacing w:line="720" w:lineRule="auto"/>
        <w:jc w:val="center"/>
        <w:outlineLvl w:val="0"/>
        <w:rPr>
          <w:rFonts w:ascii="方正小标宋简体" w:eastAsia="方正小标宋简体" w:hAnsi="Times New Roman" w:cs="Times New Roman"/>
          <w:sz w:val="36"/>
          <w:szCs w:val="21"/>
        </w:rPr>
      </w:pPr>
    </w:p>
    <w:p w:rsidR="00C42905" w:rsidRPr="003111E8" w:rsidRDefault="003111E8" w:rsidP="003111E8">
      <w:pPr>
        <w:widowControl/>
        <w:shd w:val="clear" w:color="auto" w:fill="FFFFFF"/>
        <w:spacing w:line="720" w:lineRule="auto"/>
        <w:jc w:val="center"/>
        <w:outlineLvl w:val="0"/>
        <w:rPr>
          <w:rFonts w:ascii="方正小标宋简体" w:eastAsia="方正小标宋简体" w:hAnsi="Times New Roman" w:cs="Times New Roman"/>
          <w:sz w:val="36"/>
          <w:szCs w:val="21"/>
        </w:rPr>
      </w:pPr>
      <w:r w:rsidRPr="003111E8">
        <w:rPr>
          <w:rFonts w:ascii="方正小标宋简体" w:eastAsia="方正小标宋简体" w:hAnsi="Times New Roman" w:cs="Times New Roman" w:hint="eastAsia"/>
          <w:sz w:val="36"/>
          <w:szCs w:val="21"/>
        </w:rPr>
        <w:t>目</w:t>
      </w:r>
      <w:r>
        <w:rPr>
          <w:rFonts w:ascii="方正小标宋简体" w:eastAsia="方正小标宋简体" w:hAnsi="Times New Roman" w:cs="Times New Roman" w:hint="eastAsia"/>
          <w:sz w:val="36"/>
          <w:szCs w:val="21"/>
        </w:rPr>
        <w:t xml:space="preserve">   </w:t>
      </w:r>
      <w:r w:rsidRPr="003111E8">
        <w:rPr>
          <w:rFonts w:ascii="方正小标宋简体" w:eastAsia="方正小标宋简体" w:hAnsi="Times New Roman" w:cs="Times New Roman" w:hint="eastAsia"/>
          <w:sz w:val="36"/>
          <w:szCs w:val="21"/>
        </w:rPr>
        <w:t>录</w:t>
      </w:r>
    </w:p>
    <w:p w:rsidR="003111E8" w:rsidRPr="003111E8" w:rsidRDefault="003111E8" w:rsidP="003111E8">
      <w:pPr>
        <w:widowControl/>
        <w:shd w:val="clear" w:color="auto" w:fill="FFFFFF"/>
        <w:spacing w:line="720" w:lineRule="auto"/>
        <w:jc w:val="center"/>
        <w:outlineLvl w:val="0"/>
        <w:rPr>
          <w:rFonts w:ascii="方正小标宋简体" w:eastAsia="方正小标宋简体" w:hAnsi="Times New Roman" w:cs="Times New Roman"/>
          <w:sz w:val="36"/>
          <w:szCs w:val="21"/>
        </w:rPr>
      </w:pPr>
    </w:p>
    <w:p w:rsidR="003111E8" w:rsidRDefault="003111E8" w:rsidP="003111E8">
      <w:pPr>
        <w:spacing w:line="600" w:lineRule="auto"/>
        <w:rPr>
          <w:rFonts w:asciiTheme="minorEastAsia" w:hAnsiTheme="minorEastAsia"/>
          <w:sz w:val="24"/>
        </w:rPr>
      </w:pPr>
      <w:r w:rsidRPr="003111E8">
        <w:rPr>
          <w:rFonts w:asciiTheme="minorEastAsia" w:hAnsiTheme="minorEastAsia" w:hint="eastAsia"/>
          <w:sz w:val="24"/>
        </w:rPr>
        <w:t>一、</w:t>
      </w:r>
      <w:r w:rsidRPr="003111E8">
        <w:rPr>
          <w:rFonts w:asciiTheme="minorEastAsia" w:hAnsiTheme="minorEastAsia"/>
          <w:sz w:val="24"/>
        </w:rPr>
        <w:t>上海市可疑医疗器械不良事件报告总体情况</w:t>
      </w:r>
      <w:r>
        <w:rPr>
          <w:rFonts w:asciiTheme="minorEastAsia" w:hAnsiTheme="minorEastAsia" w:hint="eastAsia"/>
          <w:sz w:val="24"/>
        </w:rPr>
        <w:t xml:space="preserve"> -</w:t>
      </w:r>
      <w:r w:rsidRPr="003111E8">
        <w:rPr>
          <w:rFonts w:asciiTheme="minorEastAsia" w:hAnsiTheme="minorEastAsia" w:hint="eastAsia"/>
          <w:sz w:val="24"/>
        </w:rPr>
        <w:t>----------------</w:t>
      </w:r>
      <w:r>
        <w:rPr>
          <w:rFonts w:asciiTheme="minorEastAsia" w:hAnsiTheme="minorEastAsia" w:hint="eastAsia"/>
          <w:sz w:val="24"/>
        </w:rPr>
        <w:t>-------</w:t>
      </w:r>
      <w:r w:rsidRPr="003111E8">
        <w:rPr>
          <w:rFonts w:asciiTheme="minorEastAsia" w:hAnsiTheme="minorEastAsia" w:hint="eastAsia"/>
          <w:sz w:val="24"/>
        </w:rPr>
        <w:t>1</w:t>
      </w:r>
    </w:p>
    <w:p w:rsidR="003111E8" w:rsidRDefault="003111E8" w:rsidP="003111E8">
      <w:pPr>
        <w:spacing w:line="600" w:lineRule="auto"/>
        <w:rPr>
          <w:rFonts w:asciiTheme="minorEastAsia" w:hAnsiTheme="minorEastAsia"/>
          <w:sz w:val="24"/>
        </w:rPr>
      </w:pPr>
      <w:r w:rsidRPr="003111E8">
        <w:rPr>
          <w:rFonts w:asciiTheme="minorEastAsia" w:hAnsiTheme="minorEastAsia" w:hint="eastAsia"/>
          <w:sz w:val="24"/>
        </w:rPr>
        <w:t>二、</w:t>
      </w:r>
      <w:r w:rsidRPr="003111E8">
        <w:rPr>
          <w:rFonts w:asciiTheme="minorEastAsia" w:hAnsiTheme="minorEastAsia"/>
          <w:sz w:val="24"/>
        </w:rPr>
        <w:t>2017年上海市可疑医疗器械不良事件报告统计分析</w:t>
      </w:r>
      <w:r>
        <w:rPr>
          <w:rFonts w:asciiTheme="minorEastAsia" w:hAnsiTheme="minorEastAsia" w:hint="eastAsia"/>
          <w:sz w:val="24"/>
        </w:rPr>
        <w:t xml:space="preserve"> -</w:t>
      </w:r>
      <w:r w:rsidRPr="003111E8">
        <w:rPr>
          <w:rFonts w:asciiTheme="minorEastAsia" w:hAnsiTheme="minorEastAsia" w:hint="eastAsia"/>
          <w:sz w:val="24"/>
        </w:rPr>
        <w:t>----------</w:t>
      </w:r>
      <w:r>
        <w:rPr>
          <w:rFonts w:asciiTheme="minorEastAsia" w:hAnsiTheme="minorEastAsia" w:hint="eastAsia"/>
          <w:sz w:val="24"/>
        </w:rPr>
        <w:t>-</w:t>
      </w:r>
      <w:r w:rsidRPr="003111E8">
        <w:rPr>
          <w:rFonts w:asciiTheme="minorEastAsia" w:hAnsiTheme="minorEastAsia" w:hint="eastAsia"/>
          <w:sz w:val="24"/>
        </w:rPr>
        <w:t>--</w:t>
      </w:r>
      <w:r>
        <w:rPr>
          <w:rFonts w:asciiTheme="minorEastAsia" w:hAnsiTheme="minorEastAsia" w:hint="eastAsia"/>
          <w:sz w:val="24"/>
        </w:rPr>
        <w:t>-</w:t>
      </w:r>
      <w:r w:rsidRPr="003111E8">
        <w:rPr>
          <w:rFonts w:asciiTheme="minorEastAsia" w:hAnsiTheme="minorEastAsia" w:hint="eastAsia"/>
          <w:sz w:val="24"/>
        </w:rPr>
        <w:t>-</w:t>
      </w:r>
      <w:r>
        <w:rPr>
          <w:rFonts w:asciiTheme="minorEastAsia" w:hAnsiTheme="minorEastAsia" w:hint="eastAsia"/>
          <w:sz w:val="24"/>
        </w:rPr>
        <w:t>-</w:t>
      </w:r>
      <w:r w:rsidRPr="003111E8">
        <w:rPr>
          <w:rFonts w:asciiTheme="minorEastAsia" w:hAnsiTheme="minorEastAsia" w:hint="eastAsia"/>
          <w:sz w:val="24"/>
        </w:rPr>
        <w:t>2</w:t>
      </w:r>
    </w:p>
    <w:p w:rsidR="003111E8" w:rsidRPr="003111E8" w:rsidRDefault="003111E8" w:rsidP="003111E8">
      <w:pPr>
        <w:spacing w:line="600" w:lineRule="auto"/>
        <w:rPr>
          <w:rFonts w:asciiTheme="minorEastAsia" w:hAnsiTheme="minorEastAsia"/>
          <w:sz w:val="24"/>
        </w:rPr>
        <w:sectPr w:rsidR="003111E8" w:rsidRPr="003111E8" w:rsidSect="00A16711">
          <w:pgSz w:w="11906" w:h="16838"/>
          <w:pgMar w:top="1440" w:right="1800" w:bottom="1440" w:left="1800" w:header="851" w:footer="992" w:gutter="0"/>
          <w:pgNumType w:start="1"/>
          <w:cols w:space="425"/>
          <w:titlePg/>
          <w:docGrid w:type="lines" w:linePitch="312"/>
        </w:sectPr>
      </w:pPr>
      <w:r w:rsidRPr="003111E8">
        <w:rPr>
          <w:rFonts w:asciiTheme="minorEastAsia" w:hAnsiTheme="minorEastAsia" w:hint="eastAsia"/>
          <w:sz w:val="24"/>
        </w:rPr>
        <w:t>医疗器械不良事件监测小贴士</w:t>
      </w:r>
      <w:r>
        <w:rPr>
          <w:rFonts w:asciiTheme="minorEastAsia" w:hAnsiTheme="minorEastAsia" w:hint="eastAsia"/>
          <w:sz w:val="24"/>
        </w:rPr>
        <w:t xml:space="preserve"> </w:t>
      </w:r>
      <w:r w:rsidRPr="003111E8">
        <w:rPr>
          <w:rFonts w:asciiTheme="minorEastAsia" w:hAnsiTheme="minorEastAsia" w:hint="eastAsia"/>
          <w:sz w:val="24"/>
        </w:rPr>
        <w:t>-------------------</w:t>
      </w:r>
      <w:r>
        <w:rPr>
          <w:rFonts w:asciiTheme="minorEastAsia" w:hAnsiTheme="minorEastAsia" w:hint="eastAsia"/>
          <w:sz w:val="24"/>
        </w:rPr>
        <w:t>--------------</w:t>
      </w:r>
      <w:r w:rsidRPr="003111E8">
        <w:rPr>
          <w:rFonts w:asciiTheme="minorEastAsia" w:hAnsiTheme="minorEastAsia" w:hint="eastAsia"/>
          <w:sz w:val="24"/>
        </w:rPr>
        <w:t>--</w:t>
      </w:r>
      <w:r>
        <w:rPr>
          <w:rFonts w:asciiTheme="minorEastAsia" w:hAnsiTheme="minorEastAsia" w:hint="eastAsia"/>
          <w:sz w:val="24"/>
        </w:rPr>
        <w:t>-----</w:t>
      </w:r>
      <w:r w:rsidRPr="003111E8">
        <w:rPr>
          <w:rFonts w:asciiTheme="minorEastAsia" w:hAnsiTheme="minorEastAsia" w:hint="eastAsia"/>
          <w:sz w:val="24"/>
        </w:rPr>
        <w:t>7</w:t>
      </w:r>
    </w:p>
    <w:bookmarkEnd w:id="0"/>
    <w:bookmarkEnd w:id="1"/>
    <w:p w:rsidR="00C113CA" w:rsidRPr="004E2D6B" w:rsidRDefault="006F5AA9" w:rsidP="003111E8">
      <w:pPr>
        <w:widowControl/>
        <w:shd w:val="clear" w:color="auto" w:fill="FFFFFF"/>
        <w:spacing w:line="360" w:lineRule="auto"/>
        <w:ind w:firstLineChars="202" w:firstLine="426"/>
        <w:jc w:val="left"/>
        <w:outlineLvl w:val="0"/>
        <w:rPr>
          <w:rFonts w:ascii="Times New Roman" w:hAnsi="Times New Roman" w:cs="Times New Roman"/>
          <w:kern w:val="0"/>
          <w:szCs w:val="21"/>
        </w:rPr>
      </w:pPr>
      <w:r w:rsidRPr="004E2D6B">
        <w:rPr>
          <w:rFonts w:ascii="Times New Roman" w:hAnsiTheme="minorEastAsia" w:cs="Times New Roman"/>
          <w:b/>
          <w:bCs/>
          <w:kern w:val="0"/>
          <w:szCs w:val="21"/>
        </w:rPr>
        <w:lastRenderedPageBreak/>
        <w:t>一、上海市</w:t>
      </w:r>
      <w:r w:rsidR="00E9740F" w:rsidRPr="004E2D6B">
        <w:rPr>
          <w:rFonts w:ascii="Times New Roman" w:hAnsiTheme="minorEastAsia" w:cs="Times New Roman"/>
          <w:b/>
          <w:bCs/>
          <w:kern w:val="0"/>
          <w:szCs w:val="21"/>
        </w:rPr>
        <w:t>可疑</w:t>
      </w:r>
      <w:r w:rsidRPr="004E2D6B">
        <w:rPr>
          <w:rFonts w:ascii="Times New Roman" w:hAnsiTheme="minorEastAsia" w:cs="Times New Roman"/>
          <w:b/>
          <w:bCs/>
          <w:kern w:val="0"/>
          <w:szCs w:val="21"/>
        </w:rPr>
        <w:t>医疗器械不良事件报告总体情况</w:t>
      </w:r>
    </w:p>
    <w:p w:rsidR="00C113CA" w:rsidRDefault="006F5AA9" w:rsidP="00C42905">
      <w:pPr>
        <w:spacing w:line="360" w:lineRule="auto"/>
        <w:ind w:firstLineChars="202" w:firstLine="424"/>
        <w:rPr>
          <w:rFonts w:ascii="Times New Roman" w:hAnsiTheme="minorEastAsia" w:cs="Times New Roman"/>
          <w:kern w:val="0"/>
        </w:rPr>
      </w:pPr>
      <w:r w:rsidRPr="004E2D6B">
        <w:rPr>
          <w:rFonts w:ascii="Times New Roman" w:hAnsi="Times New Roman" w:cs="Times New Roman"/>
          <w:kern w:val="0"/>
        </w:rPr>
        <w:t>201</w:t>
      </w:r>
      <w:r w:rsidR="007D7A0C" w:rsidRPr="004E2D6B">
        <w:rPr>
          <w:rFonts w:ascii="Times New Roman" w:hAnsi="Times New Roman" w:cs="Times New Roman"/>
          <w:kern w:val="0"/>
        </w:rPr>
        <w:t>7</w:t>
      </w:r>
      <w:r w:rsidR="005C1303" w:rsidRPr="004E2D6B">
        <w:rPr>
          <w:rFonts w:ascii="Times New Roman" w:hAnsiTheme="minorEastAsia" w:cs="Times New Roman"/>
          <w:kern w:val="0"/>
        </w:rPr>
        <w:t>年</w:t>
      </w:r>
      <w:r w:rsidR="00E9740F" w:rsidRPr="004E2D6B">
        <w:rPr>
          <w:rFonts w:ascii="Times New Roman" w:hAnsiTheme="minorEastAsia" w:cs="Times New Roman"/>
          <w:kern w:val="0"/>
        </w:rPr>
        <w:t>，</w:t>
      </w:r>
      <w:r w:rsidR="005C1303" w:rsidRPr="004E2D6B">
        <w:rPr>
          <w:rFonts w:ascii="Times New Roman" w:hAnsiTheme="minorEastAsia" w:cs="Times New Roman"/>
          <w:kern w:val="0"/>
        </w:rPr>
        <w:t>上海市</w:t>
      </w:r>
      <w:r w:rsidR="00E9740F" w:rsidRPr="004E2D6B">
        <w:rPr>
          <w:rFonts w:ascii="Times New Roman" w:hAnsiTheme="minorEastAsia" w:cs="Times New Roman"/>
          <w:kern w:val="0"/>
        </w:rPr>
        <w:t>通过</w:t>
      </w:r>
      <w:r w:rsidR="00E9740F" w:rsidRPr="004E2D6B">
        <w:rPr>
          <w:rFonts w:ascii="Times New Roman" w:hAnsi="Times New Roman" w:cs="Times New Roman"/>
          <w:kern w:val="0"/>
        </w:rPr>
        <w:t>“</w:t>
      </w:r>
      <w:r w:rsidR="00E9740F" w:rsidRPr="004E2D6B">
        <w:rPr>
          <w:rFonts w:ascii="Times New Roman" w:hAnsiTheme="minorEastAsia" w:cs="Times New Roman"/>
          <w:kern w:val="0"/>
        </w:rPr>
        <w:t>国家药品不良反应监测系统</w:t>
      </w:r>
      <w:r w:rsidR="00E9740F" w:rsidRPr="004E2D6B">
        <w:rPr>
          <w:rFonts w:ascii="Times New Roman" w:hAnsi="Times New Roman" w:cs="Times New Roman"/>
          <w:kern w:val="0"/>
        </w:rPr>
        <w:t>”</w:t>
      </w:r>
      <w:r w:rsidR="00E9740F" w:rsidRPr="004E2D6B">
        <w:rPr>
          <w:rFonts w:ascii="Times New Roman" w:hAnsiTheme="minorEastAsia" w:cs="Times New Roman"/>
          <w:kern w:val="0"/>
        </w:rPr>
        <w:t>上报</w:t>
      </w:r>
      <w:r w:rsidR="005C1303" w:rsidRPr="004E2D6B">
        <w:rPr>
          <w:rFonts w:ascii="Times New Roman" w:hAnsiTheme="minorEastAsia" w:cs="Times New Roman"/>
          <w:kern w:val="0"/>
        </w:rPr>
        <w:t>可疑医疗器械不良事件报告</w:t>
      </w:r>
      <w:r w:rsidR="007D7A0C" w:rsidRPr="004E2D6B">
        <w:rPr>
          <w:rFonts w:ascii="Times New Roman" w:hAnsi="Times New Roman" w:cs="Times New Roman"/>
          <w:kern w:val="0"/>
        </w:rPr>
        <w:t>7278</w:t>
      </w:r>
      <w:r w:rsidRPr="004E2D6B">
        <w:rPr>
          <w:rFonts w:ascii="Times New Roman" w:hAnsiTheme="minorEastAsia" w:cs="Times New Roman"/>
          <w:kern w:val="0"/>
        </w:rPr>
        <w:t>份，较</w:t>
      </w:r>
      <w:r w:rsidRPr="004E2D6B">
        <w:rPr>
          <w:rFonts w:ascii="Times New Roman" w:hAnsi="Times New Roman" w:cs="Times New Roman"/>
          <w:kern w:val="0"/>
        </w:rPr>
        <w:t>201</w:t>
      </w:r>
      <w:r w:rsidR="007D7A0C" w:rsidRPr="004E2D6B">
        <w:rPr>
          <w:rFonts w:ascii="Times New Roman" w:hAnsi="Times New Roman" w:cs="Times New Roman"/>
          <w:kern w:val="0"/>
        </w:rPr>
        <w:t>6</w:t>
      </w:r>
      <w:r w:rsidRPr="004E2D6B">
        <w:rPr>
          <w:rFonts w:ascii="Times New Roman" w:hAnsiTheme="minorEastAsia" w:cs="Times New Roman"/>
          <w:kern w:val="0"/>
        </w:rPr>
        <w:t>年增加</w:t>
      </w:r>
      <w:r w:rsidR="007D7A0C" w:rsidRPr="004E2D6B">
        <w:rPr>
          <w:rFonts w:ascii="Times New Roman" w:hAnsi="Times New Roman" w:cs="Times New Roman"/>
          <w:kern w:val="0"/>
        </w:rPr>
        <w:t>208</w:t>
      </w:r>
      <w:r w:rsidR="009D2918" w:rsidRPr="004E2D6B">
        <w:rPr>
          <w:rFonts w:ascii="Times New Roman" w:hAnsi="Times New Roman" w:cs="Times New Roman"/>
          <w:kern w:val="0"/>
        </w:rPr>
        <w:t>2</w:t>
      </w:r>
      <w:r w:rsidRPr="004E2D6B">
        <w:rPr>
          <w:rFonts w:ascii="Times New Roman" w:hAnsiTheme="minorEastAsia" w:cs="Times New Roman"/>
          <w:kern w:val="0"/>
        </w:rPr>
        <w:t>份，增长</w:t>
      </w:r>
      <w:r w:rsidR="002C0D7F" w:rsidRPr="004E2D6B">
        <w:rPr>
          <w:rFonts w:ascii="Times New Roman" w:hAnsiTheme="minorEastAsia" w:cs="Times New Roman"/>
          <w:kern w:val="0"/>
        </w:rPr>
        <w:t>了</w:t>
      </w:r>
      <w:r w:rsidR="007D7A0C" w:rsidRPr="004E2D6B">
        <w:rPr>
          <w:rFonts w:ascii="Times New Roman" w:hAnsi="Times New Roman" w:cs="Times New Roman"/>
          <w:kern w:val="0"/>
        </w:rPr>
        <w:t>40.07</w:t>
      </w:r>
      <w:r w:rsidRPr="004E2D6B">
        <w:rPr>
          <w:rFonts w:ascii="Times New Roman" w:hAnsi="Times New Roman" w:cs="Times New Roman"/>
          <w:kern w:val="0"/>
        </w:rPr>
        <w:t>%</w:t>
      </w:r>
      <w:r w:rsidR="00C113CA" w:rsidRPr="004E2D6B">
        <w:rPr>
          <w:rFonts w:ascii="Times New Roman" w:hAnsiTheme="minorEastAsia" w:cs="Times New Roman"/>
          <w:kern w:val="0"/>
        </w:rPr>
        <w:t>（</w:t>
      </w:r>
      <w:r w:rsidR="00DE3733">
        <w:fldChar w:fldCharType="begin"/>
      </w:r>
      <w:r w:rsidR="00DE3733">
        <w:instrText xml:space="preserve"> REF _Ref475535792 \h  \* MERGEFORMAT </w:instrText>
      </w:r>
      <w:r w:rsidR="00DE3733">
        <w:fldChar w:fldCharType="separate"/>
      </w:r>
      <w:r w:rsidR="00031BE3" w:rsidRPr="004E2D6B">
        <w:rPr>
          <w:rFonts w:ascii="Times New Roman" w:hAnsiTheme="minorEastAsia" w:cs="Times New Roman"/>
        </w:rPr>
        <w:t>图</w:t>
      </w:r>
      <w:r w:rsidR="00031BE3" w:rsidRPr="004E2D6B">
        <w:rPr>
          <w:rFonts w:ascii="Times New Roman" w:hAnsi="Times New Roman" w:cs="Times New Roman"/>
        </w:rPr>
        <w:t xml:space="preserve"> 1</w:t>
      </w:r>
      <w:r w:rsidR="00DE3733">
        <w:fldChar w:fldCharType="end"/>
      </w:r>
      <w:r w:rsidR="00C113CA" w:rsidRPr="004E2D6B">
        <w:rPr>
          <w:rFonts w:ascii="Times New Roman" w:hAnsiTheme="minorEastAsia" w:cs="Times New Roman"/>
          <w:kern w:val="0"/>
        </w:rPr>
        <w:t>）</w:t>
      </w:r>
      <w:r w:rsidRPr="004E2D6B">
        <w:rPr>
          <w:rFonts w:ascii="Times New Roman" w:hAnsiTheme="minorEastAsia" w:cs="Times New Roman"/>
          <w:kern w:val="0"/>
        </w:rPr>
        <w:t>。</w:t>
      </w:r>
    </w:p>
    <w:p w:rsidR="006F5AA9" w:rsidRPr="004E2D6B" w:rsidRDefault="00C42905" w:rsidP="00C42905">
      <w:pPr>
        <w:spacing w:line="360" w:lineRule="auto"/>
        <w:jc w:val="center"/>
        <w:rPr>
          <w:rFonts w:ascii="Times New Roman" w:hAnsi="Times New Roman" w:cs="Times New Roman"/>
          <w:kern w:val="0"/>
        </w:rPr>
      </w:pPr>
      <w:r w:rsidRPr="00C42905">
        <w:rPr>
          <w:rFonts w:ascii="Times New Roman" w:hAnsi="Times New Roman" w:cs="Times New Roman"/>
          <w:noProof/>
          <w:kern w:val="0"/>
        </w:rPr>
        <w:drawing>
          <wp:inline distT="0" distB="0" distL="0" distR="0">
            <wp:extent cx="4686301" cy="3114675"/>
            <wp:effectExtent l="19050" t="0" r="19049"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5AA9" w:rsidRPr="003111E8" w:rsidRDefault="000C2003" w:rsidP="00C42905">
      <w:pPr>
        <w:pStyle w:val="ac"/>
        <w:spacing w:line="360" w:lineRule="auto"/>
        <w:jc w:val="center"/>
        <w:rPr>
          <w:rFonts w:ascii="黑体" w:hAnsi="黑体" w:cs="Times New Roman"/>
          <w:kern w:val="0"/>
          <w:szCs w:val="21"/>
        </w:rPr>
      </w:pPr>
      <w:bookmarkStart w:id="2" w:name="_Ref475535792"/>
      <w:r w:rsidRPr="003111E8">
        <w:rPr>
          <w:rFonts w:ascii="黑体" w:hAnsi="黑体" w:cs="Times New Roman"/>
        </w:rPr>
        <w:t xml:space="preserve">图 </w:t>
      </w:r>
      <w:r w:rsidR="00877EC5" w:rsidRPr="003111E8">
        <w:rPr>
          <w:rFonts w:ascii="黑体" w:hAnsi="黑体" w:cs="Times New Roman"/>
        </w:rPr>
        <w:fldChar w:fldCharType="begin"/>
      </w:r>
      <w:r w:rsidRPr="003111E8">
        <w:rPr>
          <w:rFonts w:ascii="黑体" w:hAnsi="黑体" w:cs="Times New Roman"/>
        </w:rPr>
        <w:instrText xml:space="preserve"> SEQ 图 \* ARABIC </w:instrText>
      </w:r>
      <w:r w:rsidR="00877EC5" w:rsidRPr="003111E8">
        <w:rPr>
          <w:rFonts w:ascii="黑体" w:hAnsi="黑体" w:cs="Times New Roman"/>
        </w:rPr>
        <w:fldChar w:fldCharType="separate"/>
      </w:r>
      <w:r w:rsidR="00031BE3" w:rsidRPr="003111E8">
        <w:rPr>
          <w:rFonts w:ascii="黑体" w:hAnsi="黑体" w:cs="Times New Roman"/>
          <w:noProof/>
        </w:rPr>
        <w:t>1</w:t>
      </w:r>
      <w:r w:rsidR="00877EC5" w:rsidRPr="003111E8">
        <w:rPr>
          <w:rFonts w:ascii="黑体" w:hAnsi="黑体" w:cs="Times New Roman"/>
        </w:rPr>
        <w:fldChar w:fldCharType="end"/>
      </w:r>
      <w:bookmarkEnd w:id="2"/>
      <w:r w:rsidRPr="003111E8">
        <w:rPr>
          <w:rFonts w:ascii="黑体" w:hAnsi="黑体" w:cs="Times New Roman"/>
        </w:rPr>
        <w:t xml:space="preserve">. </w:t>
      </w:r>
      <w:r w:rsidR="005C1303" w:rsidRPr="003111E8">
        <w:rPr>
          <w:rFonts w:ascii="黑体" w:hAnsi="黑体" w:cs="Times New Roman"/>
          <w:kern w:val="0"/>
          <w:szCs w:val="21"/>
        </w:rPr>
        <w:t>上海市历年可疑医疗器械不良事件报告</w:t>
      </w:r>
      <w:r w:rsidR="00C113CA" w:rsidRPr="003111E8">
        <w:rPr>
          <w:rFonts w:ascii="黑体" w:hAnsi="黑体" w:cs="Times New Roman"/>
          <w:kern w:val="0"/>
          <w:szCs w:val="21"/>
        </w:rPr>
        <w:t>数量</w:t>
      </w:r>
    </w:p>
    <w:p w:rsidR="00C42905" w:rsidRPr="00C42905" w:rsidRDefault="00C42905" w:rsidP="00C42905">
      <w:pPr>
        <w:spacing w:line="360" w:lineRule="auto"/>
      </w:pPr>
    </w:p>
    <w:p w:rsidR="006F5AA9" w:rsidRPr="004E2D6B" w:rsidRDefault="00096AB6" w:rsidP="00C42905">
      <w:pPr>
        <w:widowControl/>
        <w:shd w:val="clear" w:color="auto" w:fill="FFFFFF"/>
        <w:spacing w:line="360" w:lineRule="auto"/>
        <w:ind w:firstLineChars="202" w:firstLine="426"/>
        <w:jc w:val="left"/>
        <w:outlineLvl w:val="0"/>
        <w:rPr>
          <w:rFonts w:ascii="Times New Roman" w:hAnsi="Times New Roman" w:cs="Times New Roman"/>
          <w:kern w:val="0"/>
          <w:szCs w:val="21"/>
        </w:rPr>
      </w:pPr>
      <w:r w:rsidRPr="004E2D6B">
        <w:rPr>
          <w:rFonts w:ascii="Times New Roman" w:hAnsi="Times New Roman" w:cs="Times New Roman"/>
          <w:b/>
          <w:bCs/>
          <w:kern w:val="0"/>
          <w:szCs w:val="21"/>
        </w:rPr>
        <w:t>1</w:t>
      </w:r>
      <w:r w:rsidR="006F5AA9" w:rsidRPr="004E2D6B">
        <w:rPr>
          <w:rFonts w:ascii="Times New Roman" w:hAnsi="Times New Roman" w:cs="Times New Roman"/>
          <w:b/>
          <w:bCs/>
          <w:kern w:val="0"/>
          <w:szCs w:val="21"/>
        </w:rPr>
        <w:t>.</w:t>
      </w:r>
      <w:r w:rsidR="006F5AA9" w:rsidRPr="004E2D6B">
        <w:rPr>
          <w:rFonts w:ascii="Times New Roman" w:hAnsiTheme="minorEastAsia" w:cs="Times New Roman"/>
          <w:b/>
          <w:bCs/>
          <w:kern w:val="0"/>
          <w:szCs w:val="21"/>
        </w:rPr>
        <w:t>每百万人口平均报告数量</w:t>
      </w:r>
    </w:p>
    <w:p w:rsidR="006F5AA9" w:rsidRPr="004E2D6B" w:rsidRDefault="006F5AA9" w:rsidP="00C42905">
      <w:pPr>
        <w:widowControl/>
        <w:shd w:val="clear" w:color="auto" w:fill="FFFFFF"/>
        <w:spacing w:line="360" w:lineRule="auto"/>
        <w:ind w:firstLineChars="202" w:firstLine="424"/>
        <w:jc w:val="left"/>
        <w:rPr>
          <w:rFonts w:ascii="Times New Roman" w:hAnsi="Times New Roman" w:cs="Times New Roman"/>
          <w:kern w:val="0"/>
          <w:szCs w:val="21"/>
        </w:rPr>
      </w:pPr>
      <w:r w:rsidRPr="004E2D6B">
        <w:rPr>
          <w:rFonts w:ascii="Times New Roman" w:hAnsi="Times New Roman" w:cs="Times New Roman"/>
          <w:kern w:val="0"/>
          <w:szCs w:val="21"/>
        </w:rPr>
        <w:t>201</w:t>
      </w:r>
      <w:r w:rsidR="007D7A0C" w:rsidRPr="004E2D6B">
        <w:rPr>
          <w:rFonts w:ascii="Times New Roman" w:hAnsi="Times New Roman" w:cs="Times New Roman"/>
          <w:kern w:val="0"/>
          <w:szCs w:val="21"/>
        </w:rPr>
        <w:t>7</w:t>
      </w:r>
      <w:r w:rsidRPr="004E2D6B">
        <w:rPr>
          <w:rFonts w:ascii="Times New Roman" w:hAnsiTheme="minorEastAsia" w:cs="Times New Roman"/>
          <w:kern w:val="0"/>
          <w:szCs w:val="21"/>
        </w:rPr>
        <w:t>年，本市每百万人口平均</w:t>
      </w:r>
      <w:r w:rsidR="005C1303" w:rsidRPr="004E2D6B">
        <w:rPr>
          <w:rFonts w:ascii="Times New Roman" w:hAnsiTheme="minorEastAsia" w:cs="Times New Roman"/>
          <w:kern w:val="0"/>
        </w:rPr>
        <w:t>可疑医疗器械不良事件报告</w:t>
      </w:r>
      <w:r w:rsidRPr="004E2D6B">
        <w:rPr>
          <w:rFonts w:ascii="Times New Roman" w:hAnsiTheme="minorEastAsia" w:cs="Times New Roman"/>
          <w:kern w:val="0"/>
          <w:szCs w:val="21"/>
        </w:rPr>
        <w:t>数为</w:t>
      </w:r>
      <w:r w:rsidR="007D7A0C" w:rsidRPr="004E2D6B">
        <w:rPr>
          <w:rFonts w:ascii="Times New Roman" w:hAnsi="Times New Roman" w:cs="Times New Roman"/>
          <w:kern w:val="0"/>
          <w:szCs w:val="21"/>
        </w:rPr>
        <w:t>300</w:t>
      </w:r>
      <w:r w:rsidRPr="004E2D6B">
        <w:rPr>
          <w:rFonts w:ascii="Times New Roman" w:hAnsiTheme="minorEastAsia" w:cs="Times New Roman"/>
          <w:kern w:val="0"/>
          <w:szCs w:val="21"/>
        </w:rPr>
        <w:t>份，与</w:t>
      </w:r>
      <w:r w:rsidRPr="004E2D6B">
        <w:rPr>
          <w:rFonts w:ascii="Times New Roman" w:hAnsi="Times New Roman" w:cs="Times New Roman"/>
          <w:kern w:val="0"/>
          <w:szCs w:val="21"/>
        </w:rPr>
        <w:t>201</w:t>
      </w:r>
      <w:r w:rsidR="007D7A0C" w:rsidRPr="004E2D6B">
        <w:rPr>
          <w:rFonts w:ascii="Times New Roman" w:hAnsi="Times New Roman" w:cs="Times New Roman"/>
          <w:kern w:val="0"/>
          <w:szCs w:val="21"/>
        </w:rPr>
        <w:t>6</w:t>
      </w:r>
      <w:r w:rsidRPr="004E2D6B">
        <w:rPr>
          <w:rFonts w:ascii="Times New Roman" w:hAnsiTheme="minorEastAsia" w:cs="Times New Roman"/>
          <w:kern w:val="0"/>
          <w:szCs w:val="21"/>
        </w:rPr>
        <w:t>年相比</w:t>
      </w:r>
      <w:r w:rsidR="00BF2228" w:rsidRPr="004E2D6B">
        <w:rPr>
          <w:rFonts w:ascii="Times New Roman" w:hAnsiTheme="minorEastAsia" w:cs="Times New Roman"/>
          <w:kern w:val="0"/>
          <w:szCs w:val="21"/>
        </w:rPr>
        <w:t>，每百万人口</w:t>
      </w:r>
      <w:r w:rsidR="004B2840" w:rsidRPr="004E2D6B">
        <w:rPr>
          <w:rFonts w:ascii="Times New Roman" w:hAnsiTheme="minorEastAsia" w:cs="Times New Roman"/>
          <w:kern w:val="0"/>
          <w:szCs w:val="21"/>
        </w:rPr>
        <w:t>报告数量</w:t>
      </w:r>
      <w:r w:rsidRPr="004E2D6B">
        <w:rPr>
          <w:rFonts w:ascii="Times New Roman" w:hAnsiTheme="minorEastAsia" w:cs="Times New Roman"/>
          <w:kern w:val="0"/>
          <w:szCs w:val="21"/>
        </w:rPr>
        <w:t>增长</w:t>
      </w:r>
      <w:r w:rsidR="004B2840" w:rsidRPr="004E2D6B">
        <w:rPr>
          <w:rFonts w:ascii="Times New Roman" w:hAnsiTheme="minorEastAsia" w:cs="Times New Roman"/>
          <w:kern w:val="0"/>
          <w:szCs w:val="21"/>
        </w:rPr>
        <w:t>了</w:t>
      </w:r>
      <w:r w:rsidR="00BF2228" w:rsidRPr="004E2D6B">
        <w:rPr>
          <w:rFonts w:ascii="Times New Roman" w:hAnsi="Times New Roman" w:cs="Times New Roman"/>
          <w:kern w:val="0"/>
          <w:szCs w:val="21"/>
        </w:rPr>
        <w:t>8</w:t>
      </w:r>
      <w:r w:rsidR="007D7A0C" w:rsidRPr="004E2D6B">
        <w:rPr>
          <w:rFonts w:ascii="Times New Roman" w:hAnsi="Times New Roman" w:cs="Times New Roman"/>
          <w:kern w:val="0"/>
          <w:szCs w:val="21"/>
        </w:rPr>
        <w:t>1</w:t>
      </w:r>
      <w:r w:rsidRPr="004E2D6B">
        <w:rPr>
          <w:rFonts w:ascii="Times New Roman" w:hAnsiTheme="minorEastAsia" w:cs="Times New Roman"/>
          <w:kern w:val="0"/>
          <w:szCs w:val="21"/>
        </w:rPr>
        <w:t>份（</w:t>
      </w:r>
      <w:r w:rsidR="00E21818" w:rsidRPr="004E2D6B">
        <w:rPr>
          <w:rFonts w:ascii="Times New Roman" w:hAnsiTheme="minorEastAsia" w:cs="Times New Roman"/>
          <w:kern w:val="0"/>
          <w:szCs w:val="21"/>
        </w:rPr>
        <w:t>图</w:t>
      </w:r>
      <w:r w:rsidR="00E21818" w:rsidRPr="004E2D6B">
        <w:rPr>
          <w:rFonts w:ascii="Times New Roman" w:hAnsi="Times New Roman" w:cs="Times New Roman"/>
          <w:kern w:val="0"/>
          <w:szCs w:val="21"/>
        </w:rPr>
        <w:t>2</w:t>
      </w:r>
      <w:r w:rsidRPr="004E2D6B">
        <w:rPr>
          <w:rFonts w:ascii="Times New Roman" w:hAnsiTheme="minorEastAsia" w:cs="Times New Roman"/>
          <w:kern w:val="0"/>
          <w:szCs w:val="21"/>
        </w:rPr>
        <w:t>）。</w:t>
      </w:r>
    </w:p>
    <w:p w:rsidR="004B2840" w:rsidRPr="004E2D6B" w:rsidRDefault="007D7A0C" w:rsidP="00C42905">
      <w:pPr>
        <w:widowControl/>
        <w:shd w:val="clear" w:color="auto" w:fill="FFFFFF"/>
        <w:spacing w:line="360" w:lineRule="auto"/>
        <w:jc w:val="center"/>
        <w:rPr>
          <w:rFonts w:ascii="Times New Roman" w:hAnsi="Times New Roman" w:cs="Times New Roman"/>
          <w:kern w:val="0"/>
          <w:szCs w:val="21"/>
        </w:rPr>
      </w:pPr>
      <w:r w:rsidRPr="004E2D6B">
        <w:rPr>
          <w:rFonts w:ascii="Times New Roman" w:hAnsi="Times New Roman" w:cs="Times New Roman"/>
          <w:noProof/>
          <w:kern w:val="0"/>
          <w:szCs w:val="21"/>
        </w:rPr>
        <w:drawing>
          <wp:inline distT="0" distB="0" distL="0" distR="0">
            <wp:extent cx="4295775" cy="2533650"/>
            <wp:effectExtent l="19050" t="0" r="9525"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5AA9" w:rsidRPr="003111E8" w:rsidRDefault="000C2003" w:rsidP="00C42905">
      <w:pPr>
        <w:pStyle w:val="ac"/>
        <w:spacing w:line="360" w:lineRule="auto"/>
        <w:jc w:val="center"/>
        <w:rPr>
          <w:rFonts w:ascii="黑体" w:hAnsi="黑体" w:cs="Times New Roman"/>
          <w:kern w:val="0"/>
          <w:szCs w:val="21"/>
        </w:rPr>
      </w:pPr>
      <w:bookmarkStart w:id="3" w:name="_Ref475535812"/>
      <w:r w:rsidRPr="003111E8">
        <w:rPr>
          <w:rFonts w:ascii="黑体" w:hAnsi="黑体" w:cs="Times New Roman"/>
        </w:rPr>
        <w:t xml:space="preserve">图 </w:t>
      </w:r>
      <w:bookmarkEnd w:id="3"/>
      <w:r w:rsidR="00865C69" w:rsidRPr="003111E8">
        <w:rPr>
          <w:rFonts w:ascii="黑体" w:hAnsi="黑体" w:cs="Times New Roman"/>
        </w:rPr>
        <w:t>2</w:t>
      </w:r>
      <w:r w:rsidRPr="003111E8">
        <w:rPr>
          <w:rFonts w:ascii="黑体" w:hAnsi="黑体" w:cs="Times New Roman"/>
        </w:rPr>
        <w:t xml:space="preserve">. </w:t>
      </w:r>
      <w:r w:rsidR="006F5AA9" w:rsidRPr="003111E8">
        <w:rPr>
          <w:rFonts w:ascii="黑体" w:hAnsi="黑体" w:cs="Times New Roman"/>
          <w:kern w:val="0"/>
          <w:szCs w:val="21"/>
        </w:rPr>
        <w:t>近</w:t>
      </w:r>
      <w:r w:rsidR="00E9740F" w:rsidRPr="003111E8">
        <w:rPr>
          <w:rFonts w:ascii="黑体" w:hAnsi="黑体" w:cs="Times New Roman"/>
          <w:kern w:val="0"/>
          <w:szCs w:val="21"/>
        </w:rPr>
        <w:t>三</w:t>
      </w:r>
      <w:r w:rsidR="006F5AA9" w:rsidRPr="003111E8">
        <w:rPr>
          <w:rFonts w:ascii="黑体" w:hAnsi="黑体" w:cs="Times New Roman"/>
          <w:kern w:val="0"/>
          <w:szCs w:val="21"/>
        </w:rPr>
        <w:t>年上海市每百万人口</w:t>
      </w:r>
      <w:r w:rsidR="00BF2228" w:rsidRPr="003111E8">
        <w:rPr>
          <w:rFonts w:ascii="黑体" w:hAnsi="黑体" w:cs="Times New Roman"/>
          <w:kern w:val="0"/>
        </w:rPr>
        <w:t>可疑医疗器械不良事件报告</w:t>
      </w:r>
      <w:r w:rsidR="00BF2228" w:rsidRPr="003111E8">
        <w:rPr>
          <w:rFonts w:ascii="黑体" w:hAnsi="黑体" w:cs="Times New Roman"/>
          <w:kern w:val="0"/>
          <w:szCs w:val="21"/>
        </w:rPr>
        <w:t>数量</w:t>
      </w:r>
      <w:r w:rsidR="000E5E0D" w:rsidRPr="003111E8">
        <w:rPr>
          <w:rFonts w:ascii="黑体" w:hAnsi="黑体" w:cs="Times New Roman"/>
          <w:kern w:val="0"/>
          <w:szCs w:val="21"/>
        </w:rPr>
        <w:t>比较</w:t>
      </w:r>
    </w:p>
    <w:p w:rsidR="00C42905" w:rsidRPr="00C42905" w:rsidRDefault="00C42905" w:rsidP="00C42905">
      <w:pPr>
        <w:spacing w:line="360" w:lineRule="auto"/>
      </w:pPr>
    </w:p>
    <w:p w:rsidR="006F5AA9" w:rsidRPr="004E2D6B" w:rsidRDefault="00096AB6" w:rsidP="00C42905">
      <w:pPr>
        <w:widowControl/>
        <w:shd w:val="clear" w:color="auto" w:fill="FFFFFF"/>
        <w:spacing w:line="360" w:lineRule="auto"/>
        <w:ind w:firstLineChars="202" w:firstLine="426"/>
        <w:jc w:val="left"/>
        <w:outlineLvl w:val="0"/>
        <w:rPr>
          <w:rFonts w:ascii="Times New Roman" w:hAnsi="Times New Roman" w:cs="Times New Roman"/>
          <w:kern w:val="0"/>
          <w:szCs w:val="21"/>
        </w:rPr>
      </w:pPr>
      <w:r w:rsidRPr="004E2D6B">
        <w:rPr>
          <w:rFonts w:ascii="Times New Roman" w:hAnsi="Times New Roman" w:cs="Times New Roman"/>
          <w:b/>
          <w:bCs/>
          <w:kern w:val="0"/>
          <w:szCs w:val="21"/>
        </w:rPr>
        <w:lastRenderedPageBreak/>
        <w:t>2</w:t>
      </w:r>
      <w:r w:rsidR="006F5AA9" w:rsidRPr="004E2D6B">
        <w:rPr>
          <w:rFonts w:ascii="Times New Roman" w:hAnsi="Times New Roman" w:cs="Times New Roman"/>
          <w:b/>
          <w:bCs/>
          <w:kern w:val="0"/>
          <w:szCs w:val="21"/>
        </w:rPr>
        <w:t>.</w:t>
      </w:r>
      <w:r w:rsidR="006F5AA9" w:rsidRPr="004E2D6B">
        <w:rPr>
          <w:rFonts w:ascii="Times New Roman" w:hAnsiTheme="minorEastAsia" w:cs="Times New Roman"/>
          <w:b/>
          <w:bCs/>
          <w:kern w:val="0"/>
          <w:szCs w:val="21"/>
        </w:rPr>
        <w:t>注册基层用户数量</w:t>
      </w:r>
    </w:p>
    <w:p w:rsidR="006F5AA9" w:rsidRPr="004E2D6B" w:rsidRDefault="006F5AA9" w:rsidP="00C42905">
      <w:pPr>
        <w:spacing w:line="360"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截至</w:t>
      </w:r>
      <w:r w:rsidRPr="004E2D6B">
        <w:rPr>
          <w:rFonts w:ascii="Times New Roman" w:hAnsi="Times New Roman" w:cs="Times New Roman"/>
          <w:kern w:val="0"/>
          <w:szCs w:val="21"/>
        </w:rPr>
        <w:t>201</w:t>
      </w:r>
      <w:r w:rsidR="007D7A0C" w:rsidRPr="004E2D6B">
        <w:rPr>
          <w:rFonts w:ascii="Times New Roman" w:hAnsi="Times New Roman" w:cs="Times New Roman"/>
          <w:kern w:val="0"/>
          <w:szCs w:val="21"/>
        </w:rPr>
        <w:t>7</w:t>
      </w:r>
      <w:r w:rsidRPr="004E2D6B">
        <w:rPr>
          <w:rFonts w:ascii="Times New Roman" w:hAnsiTheme="minorEastAsia" w:cs="Times New Roman"/>
          <w:kern w:val="0"/>
          <w:szCs w:val="21"/>
        </w:rPr>
        <w:t>年</w:t>
      </w:r>
      <w:r w:rsidRPr="004E2D6B">
        <w:rPr>
          <w:rFonts w:ascii="Times New Roman" w:hAnsi="Times New Roman" w:cs="Times New Roman"/>
          <w:kern w:val="0"/>
          <w:szCs w:val="21"/>
        </w:rPr>
        <w:t>12</w:t>
      </w:r>
      <w:r w:rsidRPr="004E2D6B">
        <w:rPr>
          <w:rFonts w:ascii="Times New Roman" w:hAnsiTheme="minorEastAsia" w:cs="Times New Roman"/>
          <w:kern w:val="0"/>
          <w:szCs w:val="21"/>
        </w:rPr>
        <w:t>月</w:t>
      </w:r>
      <w:r w:rsidRPr="004E2D6B">
        <w:rPr>
          <w:rFonts w:ascii="Times New Roman" w:hAnsi="Times New Roman" w:cs="Times New Roman"/>
          <w:kern w:val="0"/>
          <w:szCs w:val="21"/>
        </w:rPr>
        <w:t>31</w:t>
      </w:r>
      <w:r w:rsidR="00E9740F" w:rsidRPr="004E2D6B">
        <w:rPr>
          <w:rFonts w:ascii="Times New Roman" w:hAnsiTheme="minorEastAsia" w:cs="Times New Roman"/>
          <w:kern w:val="0"/>
          <w:szCs w:val="21"/>
        </w:rPr>
        <w:t>日</w:t>
      </w:r>
      <w:r w:rsidR="00DD1B33" w:rsidRPr="004E2D6B">
        <w:rPr>
          <w:rFonts w:ascii="Times New Roman" w:hAnsiTheme="minorEastAsia" w:cs="Times New Roman"/>
          <w:kern w:val="0"/>
          <w:szCs w:val="21"/>
        </w:rPr>
        <w:t>，</w:t>
      </w:r>
      <w:r w:rsidR="00E9740F" w:rsidRPr="004E2D6B">
        <w:rPr>
          <w:rFonts w:ascii="Times New Roman" w:hAnsiTheme="minorEastAsia" w:cs="Times New Roman"/>
          <w:kern w:val="0"/>
          <w:szCs w:val="21"/>
        </w:rPr>
        <w:t>上海</w:t>
      </w:r>
      <w:r w:rsidRPr="004E2D6B">
        <w:rPr>
          <w:rFonts w:ascii="Times New Roman" w:hAnsiTheme="minorEastAsia" w:cs="Times New Roman"/>
          <w:kern w:val="0"/>
          <w:szCs w:val="21"/>
        </w:rPr>
        <w:t>市已有</w:t>
      </w:r>
      <w:r w:rsidR="007D7A0C" w:rsidRPr="004E2D6B">
        <w:rPr>
          <w:rFonts w:ascii="Times New Roman" w:hAnsi="Times New Roman" w:cs="Times New Roman"/>
          <w:kern w:val="0"/>
          <w:szCs w:val="21"/>
        </w:rPr>
        <w:t>18293</w:t>
      </w:r>
      <w:r w:rsidRPr="004E2D6B">
        <w:rPr>
          <w:rFonts w:ascii="Times New Roman" w:hAnsiTheme="minorEastAsia" w:cs="Times New Roman"/>
          <w:kern w:val="0"/>
          <w:szCs w:val="21"/>
        </w:rPr>
        <w:t>家单位在</w:t>
      </w:r>
      <w:r w:rsidR="00E9740F" w:rsidRPr="004E2D6B">
        <w:rPr>
          <w:rFonts w:ascii="Times New Roman" w:hAnsi="Times New Roman" w:cs="Times New Roman"/>
          <w:kern w:val="0"/>
          <w:szCs w:val="21"/>
        </w:rPr>
        <w:t>“</w:t>
      </w:r>
      <w:r w:rsidR="00E9740F" w:rsidRPr="004E2D6B">
        <w:rPr>
          <w:rFonts w:ascii="Times New Roman" w:hAnsiTheme="minorEastAsia" w:cs="Times New Roman"/>
          <w:kern w:val="0"/>
          <w:szCs w:val="21"/>
        </w:rPr>
        <w:t>国家药品不良反应监测系统</w:t>
      </w:r>
      <w:r w:rsidR="00E9740F" w:rsidRPr="004E2D6B">
        <w:rPr>
          <w:rFonts w:ascii="Times New Roman" w:hAnsi="Times New Roman" w:cs="Times New Roman"/>
          <w:kern w:val="0"/>
          <w:szCs w:val="21"/>
        </w:rPr>
        <w:t>”</w:t>
      </w:r>
      <w:r w:rsidRPr="004E2D6B">
        <w:rPr>
          <w:rFonts w:ascii="Times New Roman" w:hAnsiTheme="minorEastAsia" w:cs="Times New Roman"/>
          <w:kern w:val="0"/>
          <w:szCs w:val="21"/>
        </w:rPr>
        <w:t>中注册</w:t>
      </w:r>
      <w:r w:rsidR="000E5E0D" w:rsidRPr="004E2D6B">
        <w:rPr>
          <w:rFonts w:ascii="Times New Roman" w:hAnsiTheme="minorEastAsia" w:cs="Times New Roman"/>
          <w:kern w:val="0"/>
          <w:szCs w:val="21"/>
        </w:rPr>
        <w:t>，</w:t>
      </w:r>
      <w:r w:rsidRPr="004E2D6B">
        <w:rPr>
          <w:rFonts w:ascii="Times New Roman" w:hAnsiTheme="minorEastAsia" w:cs="Times New Roman"/>
          <w:kern w:val="0"/>
          <w:szCs w:val="21"/>
        </w:rPr>
        <w:t>较</w:t>
      </w:r>
      <w:r w:rsidRPr="004E2D6B">
        <w:rPr>
          <w:rFonts w:ascii="Times New Roman" w:hAnsi="Times New Roman" w:cs="Times New Roman"/>
          <w:kern w:val="0"/>
          <w:szCs w:val="21"/>
        </w:rPr>
        <w:t>201</w:t>
      </w:r>
      <w:r w:rsidR="007D7A0C" w:rsidRPr="004E2D6B">
        <w:rPr>
          <w:rFonts w:ascii="Times New Roman" w:hAnsi="Times New Roman" w:cs="Times New Roman"/>
          <w:kern w:val="0"/>
          <w:szCs w:val="21"/>
        </w:rPr>
        <w:t>6</w:t>
      </w:r>
      <w:r w:rsidRPr="004E2D6B">
        <w:rPr>
          <w:rFonts w:ascii="Times New Roman" w:hAnsiTheme="minorEastAsia" w:cs="Times New Roman"/>
          <w:kern w:val="0"/>
          <w:szCs w:val="21"/>
        </w:rPr>
        <w:t>年新增</w:t>
      </w:r>
      <w:r w:rsidR="009D2918" w:rsidRPr="004E2D6B">
        <w:rPr>
          <w:rFonts w:ascii="Times New Roman" w:hAnsi="Times New Roman" w:cs="Times New Roman"/>
          <w:kern w:val="0"/>
          <w:szCs w:val="21"/>
        </w:rPr>
        <w:t>1934</w:t>
      </w:r>
      <w:r w:rsidR="000E5E0D" w:rsidRPr="004E2D6B">
        <w:rPr>
          <w:rFonts w:ascii="Times New Roman" w:hAnsiTheme="minorEastAsia" w:cs="Times New Roman"/>
          <w:kern w:val="0"/>
          <w:szCs w:val="21"/>
        </w:rPr>
        <w:t>家，</w:t>
      </w:r>
      <w:r w:rsidR="000E5E0D" w:rsidRPr="004E2D6B">
        <w:rPr>
          <w:rFonts w:ascii="Times New Roman" w:hAnsi="Times New Roman" w:cs="Times New Roman"/>
          <w:kern w:val="0"/>
          <w:szCs w:val="21"/>
        </w:rPr>
        <w:t xml:space="preserve"> </w:t>
      </w:r>
      <w:r w:rsidRPr="004E2D6B">
        <w:rPr>
          <w:rFonts w:ascii="Times New Roman" w:hAnsiTheme="minorEastAsia" w:cs="Times New Roman"/>
          <w:kern w:val="0"/>
          <w:szCs w:val="21"/>
        </w:rPr>
        <w:t>增长</w:t>
      </w:r>
      <w:r w:rsidR="000E5E0D" w:rsidRPr="004E2D6B">
        <w:rPr>
          <w:rFonts w:ascii="Times New Roman" w:hAnsiTheme="minorEastAsia" w:cs="Times New Roman"/>
          <w:kern w:val="0"/>
          <w:szCs w:val="21"/>
        </w:rPr>
        <w:t>了</w:t>
      </w:r>
      <w:r w:rsidR="009D2918" w:rsidRPr="004E2D6B">
        <w:rPr>
          <w:rFonts w:ascii="Times New Roman" w:hAnsi="Times New Roman" w:cs="Times New Roman"/>
          <w:kern w:val="0"/>
          <w:szCs w:val="21"/>
        </w:rPr>
        <w:t>11.82</w:t>
      </w:r>
      <w:r w:rsidRPr="004E2D6B">
        <w:rPr>
          <w:rFonts w:ascii="Times New Roman" w:hAnsi="Times New Roman" w:cs="Times New Roman"/>
          <w:kern w:val="0"/>
          <w:szCs w:val="21"/>
        </w:rPr>
        <w:t>%</w:t>
      </w:r>
      <w:r w:rsidR="00E9740F" w:rsidRPr="004E2D6B">
        <w:rPr>
          <w:rFonts w:ascii="Times New Roman" w:hAnsiTheme="minorEastAsia" w:cs="Times New Roman"/>
          <w:kern w:val="0"/>
          <w:szCs w:val="21"/>
        </w:rPr>
        <w:t>。</w:t>
      </w:r>
      <w:r w:rsidRPr="004E2D6B">
        <w:rPr>
          <w:rFonts w:ascii="Times New Roman" w:hAnsiTheme="minorEastAsia" w:cs="Times New Roman"/>
          <w:kern w:val="0"/>
          <w:szCs w:val="21"/>
        </w:rPr>
        <w:t>其中</w:t>
      </w:r>
      <w:r w:rsidR="00E9740F" w:rsidRPr="004E2D6B">
        <w:rPr>
          <w:rFonts w:ascii="Times New Roman" w:hAnsiTheme="minorEastAsia" w:cs="Times New Roman"/>
          <w:kern w:val="0"/>
          <w:szCs w:val="21"/>
        </w:rPr>
        <w:t>注册的</w:t>
      </w:r>
      <w:r w:rsidRPr="004E2D6B">
        <w:rPr>
          <w:rFonts w:ascii="Times New Roman" w:hAnsiTheme="minorEastAsia" w:cs="Times New Roman"/>
          <w:kern w:val="0"/>
          <w:szCs w:val="21"/>
        </w:rPr>
        <w:t>生产企业</w:t>
      </w:r>
      <w:r w:rsidR="000E5E0D" w:rsidRPr="004E2D6B">
        <w:rPr>
          <w:rFonts w:ascii="Times New Roman" w:hAnsi="Times New Roman" w:cs="Times New Roman"/>
          <w:kern w:val="0"/>
          <w:szCs w:val="21"/>
        </w:rPr>
        <w:t>1</w:t>
      </w:r>
      <w:r w:rsidR="007D7A0C" w:rsidRPr="004E2D6B">
        <w:rPr>
          <w:rFonts w:ascii="Times New Roman" w:hAnsi="Times New Roman" w:cs="Times New Roman"/>
          <w:kern w:val="0"/>
          <w:szCs w:val="21"/>
        </w:rPr>
        <w:t>218</w:t>
      </w:r>
      <w:r w:rsidRPr="004E2D6B">
        <w:rPr>
          <w:rFonts w:ascii="Times New Roman" w:hAnsiTheme="minorEastAsia" w:cs="Times New Roman"/>
          <w:kern w:val="0"/>
          <w:szCs w:val="21"/>
        </w:rPr>
        <w:t>家，经营企业</w:t>
      </w:r>
      <w:r w:rsidR="007D7A0C" w:rsidRPr="004E2D6B">
        <w:rPr>
          <w:rFonts w:ascii="Times New Roman" w:hAnsi="Times New Roman" w:cs="Times New Roman"/>
          <w:kern w:val="0"/>
          <w:szCs w:val="21"/>
        </w:rPr>
        <w:t>15972</w:t>
      </w:r>
      <w:r w:rsidRPr="004E2D6B">
        <w:rPr>
          <w:rFonts w:ascii="Times New Roman" w:hAnsiTheme="minorEastAsia" w:cs="Times New Roman"/>
          <w:kern w:val="0"/>
          <w:szCs w:val="21"/>
        </w:rPr>
        <w:t>家，使用单位</w:t>
      </w:r>
      <w:r w:rsidR="000E5E0D" w:rsidRPr="004E2D6B">
        <w:rPr>
          <w:rFonts w:ascii="Times New Roman" w:hAnsi="Times New Roman" w:cs="Times New Roman"/>
          <w:kern w:val="0"/>
          <w:szCs w:val="21"/>
        </w:rPr>
        <w:t>1</w:t>
      </w:r>
      <w:r w:rsidR="007D7A0C" w:rsidRPr="004E2D6B">
        <w:rPr>
          <w:rFonts w:ascii="Times New Roman" w:hAnsi="Times New Roman" w:cs="Times New Roman"/>
          <w:kern w:val="0"/>
          <w:szCs w:val="21"/>
        </w:rPr>
        <w:t>103</w:t>
      </w:r>
      <w:r w:rsidRPr="004E2D6B">
        <w:rPr>
          <w:rFonts w:ascii="Times New Roman" w:hAnsiTheme="minorEastAsia" w:cs="Times New Roman"/>
          <w:kern w:val="0"/>
          <w:szCs w:val="21"/>
        </w:rPr>
        <w:t>家</w:t>
      </w:r>
      <w:r w:rsidR="00D55BB2" w:rsidRPr="004E2D6B">
        <w:rPr>
          <w:rFonts w:ascii="Times New Roman" w:hAnsiTheme="minorEastAsia" w:cs="Times New Roman"/>
          <w:kern w:val="0"/>
          <w:szCs w:val="21"/>
        </w:rPr>
        <w:t>（</w:t>
      </w:r>
      <w:r w:rsidR="00E21818" w:rsidRPr="004E2D6B">
        <w:rPr>
          <w:rFonts w:ascii="Times New Roman" w:hAnsiTheme="minorEastAsia" w:cs="Times New Roman"/>
          <w:kern w:val="0"/>
          <w:szCs w:val="21"/>
        </w:rPr>
        <w:t>图</w:t>
      </w:r>
      <w:r w:rsidR="00E21818" w:rsidRPr="004E2D6B">
        <w:rPr>
          <w:rFonts w:ascii="Times New Roman" w:hAnsi="Times New Roman" w:cs="Times New Roman"/>
          <w:kern w:val="0"/>
          <w:szCs w:val="21"/>
        </w:rPr>
        <w:t>3</w:t>
      </w:r>
      <w:r w:rsidR="00D55BB2" w:rsidRPr="004E2D6B">
        <w:rPr>
          <w:rFonts w:ascii="Times New Roman" w:hAnsiTheme="minorEastAsia" w:cs="Times New Roman"/>
          <w:kern w:val="0"/>
          <w:szCs w:val="21"/>
        </w:rPr>
        <w:t>）</w:t>
      </w:r>
      <w:r w:rsidRPr="004E2D6B">
        <w:rPr>
          <w:rFonts w:ascii="Times New Roman" w:hAnsiTheme="minorEastAsia" w:cs="Times New Roman"/>
          <w:kern w:val="0"/>
          <w:szCs w:val="21"/>
        </w:rPr>
        <w:t>。</w:t>
      </w:r>
    </w:p>
    <w:p w:rsidR="006F5AA9" w:rsidRPr="004E2D6B" w:rsidRDefault="008F008A" w:rsidP="00C42905">
      <w:pPr>
        <w:spacing w:line="360" w:lineRule="auto"/>
        <w:jc w:val="center"/>
        <w:rPr>
          <w:rFonts w:ascii="Times New Roman" w:hAnsi="Times New Roman" w:cs="Times New Roman"/>
          <w:kern w:val="0"/>
          <w:szCs w:val="21"/>
        </w:rPr>
      </w:pPr>
      <w:r w:rsidRPr="004E2D6B">
        <w:rPr>
          <w:rFonts w:ascii="Times New Roman" w:hAnsi="Times New Roman" w:cs="Times New Roman"/>
          <w:noProof/>
          <w:kern w:val="0"/>
          <w:szCs w:val="21"/>
        </w:rPr>
        <w:drawing>
          <wp:inline distT="0" distB="0" distL="0" distR="0">
            <wp:extent cx="4572000" cy="2743200"/>
            <wp:effectExtent l="19050" t="0" r="19050"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5AA9" w:rsidRPr="003111E8" w:rsidRDefault="000C2003" w:rsidP="00C42905">
      <w:pPr>
        <w:pStyle w:val="ac"/>
        <w:spacing w:line="360" w:lineRule="auto"/>
        <w:jc w:val="center"/>
        <w:rPr>
          <w:rFonts w:ascii="黑体" w:hAnsi="黑体" w:cs="Times New Roman"/>
          <w:kern w:val="0"/>
          <w:szCs w:val="21"/>
        </w:rPr>
      </w:pPr>
      <w:bookmarkStart w:id="4" w:name="_Ref475535818"/>
      <w:r w:rsidRPr="003111E8">
        <w:rPr>
          <w:rFonts w:ascii="黑体" w:hAnsi="黑体" w:cs="Times New Roman"/>
        </w:rPr>
        <w:t xml:space="preserve">图 </w:t>
      </w:r>
      <w:bookmarkEnd w:id="4"/>
      <w:r w:rsidR="00865C69" w:rsidRPr="003111E8">
        <w:rPr>
          <w:rFonts w:ascii="黑体" w:hAnsi="黑体" w:cs="Times New Roman"/>
        </w:rPr>
        <w:t>3</w:t>
      </w:r>
      <w:r w:rsidRPr="003111E8">
        <w:rPr>
          <w:rFonts w:ascii="黑体" w:hAnsi="黑体" w:cs="Times New Roman"/>
        </w:rPr>
        <w:t xml:space="preserve">. </w:t>
      </w:r>
      <w:r w:rsidR="006F5AA9" w:rsidRPr="003111E8">
        <w:rPr>
          <w:rFonts w:ascii="黑体" w:hAnsi="黑体" w:cs="Times New Roman"/>
          <w:kern w:val="0"/>
          <w:szCs w:val="21"/>
        </w:rPr>
        <w:t>201</w:t>
      </w:r>
      <w:r w:rsidR="00483C77">
        <w:rPr>
          <w:rFonts w:ascii="黑体" w:hAnsi="黑体" w:cs="Times New Roman"/>
          <w:kern w:val="0"/>
          <w:szCs w:val="21"/>
        </w:rPr>
        <w:t>7</w:t>
      </w:r>
      <w:r w:rsidR="006F5AA9" w:rsidRPr="003111E8">
        <w:rPr>
          <w:rFonts w:ascii="黑体" w:hAnsi="黑体" w:cs="Times New Roman"/>
          <w:kern w:val="0"/>
          <w:szCs w:val="21"/>
        </w:rPr>
        <w:t>年度医疗器械不良事件监测网络</w:t>
      </w:r>
      <w:r w:rsidR="005C1303" w:rsidRPr="003111E8">
        <w:rPr>
          <w:rFonts w:ascii="黑体" w:hAnsi="黑体" w:cs="Times New Roman"/>
          <w:kern w:val="0"/>
          <w:szCs w:val="21"/>
        </w:rPr>
        <w:t>基层用户</w:t>
      </w:r>
      <w:r w:rsidR="006F5AA9" w:rsidRPr="003111E8">
        <w:rPr>
          <w:rFonts w:ascii="黑体" w:hAnsi="黑体" w:cs="Times New Roman"/>
          <w:kern w:val="0"/>
          <w:szCs w:val="21"/>
        </w:rPr>
        <w:t>注册</w:t>
      </w:r>
      <w:r w:rsidR="005C1303" w:rsidRPr="003111E8">
        <w:rPr>
          <w:rFonts w:ascii="黑体" w:hAnsi="黑体" w:cs="Times New Roman"/>
          <w:kern w:val="0"/>
          <w:szCs w:val="21"/>
        </w:rPr>
        <w:t>构成</w:t>
      </w:r>
      <w:r w:rsidR="006F5AA9" w:rsidRPr="003111E8">
        <w:rPr>
          <w:rFonts w:ascii="黑体" w:hAnsi="黑体" w:cs="Times New Roman"/>
          <w:kern w:val="0"/>
          <w:szCs w:val="21"/>
        </w:rPr>
        <w:t>情况</w:t>
      </w:r>
    </w:p>
    <w:p w:rsidR="00C42905" w:rsidRPr="00C42905" w:rsidRDefault="00C42905" w:rsidP="00C42905">
      <w:pPr>
        <w:spacing w:line="360" w:lineRule="auto"/>
      </w:pPr>
    </w:p>
    <w:p w:rsidR="006F5AA9" w:rsidRPr="004E2D6B" w:rsidRDefault="006F5AA9" w:rsidP="00C42905">
      <w:pPr>
        <w:widowControl/>
        <w:shd w:val="clear" w:color="auto" w:fill="FFFFFF"/>
        <w:spacing w:line="360" w:lineRule="auto"/>
        <w:ind w:firstLineChars="202" w:firstLine="426"/>
        <w:jc w:val="left"/>
        <w:outlineLvl w:val="0"/>
        <w:rPr>
          <w:rFonts w:ascii="Times New Roman" w:hAnsi="Times New Roman" w:cs="Times New Roman"/>
          <w:b/>
          <w:bCs/>
          <w:kern w:val="0"/>
          <w:szCs w:val="21"/>
        </w:rPr>
      </w:pPr>
      <w:r w:rsidRPr="004E2D6B">
        <w:rPr>
          <w:rFonts w:ascii="Times New Roman" w:hAnsiTheme="minorEastAsia" w:cs="Times New Roman"/>
          <w:b/>
          <w:bCs/>
          <w:kern w:val="0"/>
          <w:szCs w:val="21"/>
        </w:rPr>
        <w:t>二、</w:t>
      </w:r>
      <w:r w:rsidRPr="004E2D6B">
        <w:rPr>
          <w:rFonts w:ascii="Times New Roman" w:hAnsi="Times New Roman" w:cs="Times New Roman"/>
          <w:b/>
          <w:bCs/>
          <w:kern w:val="0"/>
          <w:szCs w:val="21"/>
        </w:rPr>
        <w:t>201</w:t>
      </w:r>
      <w:r w:rsidR="008F008A" w:rsidRPr="004E2D6B">
        <w:rPr>
          <w:rFonts w:ascii="Times New Roman" w:hAnsi="Times New Roman" w:cs="Times New Roman"/>
          <w:b/>
          <w:bCs/>
          <w:kern w:val="0"/>
          <w:szCs w:val="21"/>
        </w:rPr>
        <w:t>7</w:t>
      </w:r>
      <w:r w:rsidRPr="004E2D6B">
        <w:rPr>
          <w:rFonts w:ascii="Times New Roman" w:hAnsiTheme="minorEastAsia" w:cs="Times New Roman"/>
          <w:b/>
          <w:bCs/>
          <w:kern w:val="0"/>
          <w:szCs w:val="21"/>
        </w:rPr>
        <w:t>年上海市可疑医疗器械不良事件报告统计分析</w:t>
      </w:r>
    </w:p>
    <w:p w:rsidR="006F5AA9" w:rsidRPr="004E2D6B" w:rsidRDefault="006F5AA9" w:rsidP="00C42905">
      <w:pPr>
        <w:widowControl/>
        <w:shd w:val="clear" w:color="auto" w:fill="FFFFFF"/>
        <w:spacing w:line="360" w:lineRule="auto"/>
        <w:ind w:firstLineChars="202" w:firstLine="426"/>
        <w:jc w:val="left"/>
        <w:outlineLvl w:val="0"/>
        <w:rPr>
          <w:rFonts w:ascii="Times New Roman" w:hAnsi="Times New Roman" w:cs="Times New Roman"/>
          <w:kern w:val="0"/>
          <w:szCs w:val="21"/>
        </w:rPr>
      </w:pPr>
      <w:r w:rsidRPr="004E2D6B">
        <w:rPr>
          <w:rFonts w:ascii="Times New Roman" w:hAnsi="Times New Roman" w:cs="Times New Roman"/>
          <w:b/>
          <w:bCs/>
          <w:kern w:val="0"/>
          <w:szCs w:val="21"/>
        </w:rPr>
        <w:t>1.</w:t>
      </w:r>
      <w:r w:rsidRPr="004E2D6B">
        <w:rPr>
          <w:rFonts w:ascii="Times New Roman" w:hAnsiTheme="minorEastAsia" w:cs="Times New Roman"/>
          <w:b/>
          <w:bCs/>
          <w:kern w:val="0"/>
          <w:szCs w:val="21"/>
        </w:rPr>
        <w:t>报告来源分析</w:t>
      </w:r>
    </w:p>
    <w:p w:rsidR="006F5AA9" w:rsidRPr="004E2D6B" w:rsidRDefault="002C5C65" w:rsidP="00C42905">
      <w:pPr>
        <w:widowControl/>
        <w:shd w:val="clear" w:color="auto" w:fill="FFFFFF"/>
        <w:spacing w:line="360" w:lineRule="auto"/>
        <w:ind w:firstLineChars="202" w:firstLine="424"/>
        <w:jc w:val="left"/>
        <w:rPr>
          <w:rFonts w:ascii="Times New Roman" w:hAnsi="Times New Roman" w:cs="Times New Roman"/>
          <w:kern w:val="0"/>
          <w:szCs w:val="21"/>
        </w:rPr>
      </w:pPr>
      <w:r w:rsidRPr="004E2D6B">
        <w:rPr>
          <w:rFonts w:ascii="Times New Roman" w:hAnsi="Times New Roman" w:cs="Times New Roman"/>
          <w:kern w:val="0"/>
          <w:szCs w:val="21"/>
        </w:rPr>
        <w:t>201</w:t>
      </w:r>
      <w:r w:rsidR="008F008A" w:rsidRPr="004E2D6B">
        <w:rPr>
          <w:rFonts w:ascii="Times New Roman" w:hAnsi="Times New Roman" w:cs="Times New Roman"/>
          <w:kern w:val="0"/>
          <w:szCs w:val="21"/>
        </w:rPr>
        <w:t>7</w:t>
      </w:r>
      <w:r w:rsidRPr="004E2D6B">
        <w:rPr>
          <w:rFonts w:ascii="Times New Roman" w:hAnsiTheme="minorEastAsia" w:cs="Times New Roman"/>
          <w:kern w:val="0"/>
          <w:szCs w:val="21"/>
        </w:rPr>
        <w:t>年度</w:t>
      </w:r>
      <w:r w:rsidR="006F5AA9" w:rsidRPr="004E2D6B">
        <w:rPr>
          <w:rFonts w:ascii="Times New Roman" w:hAnsiTheme="minorEastAsia" w:cs="Times New Roman"/>
          <w:kern w:val="0"/>
          <w:szCs w:val="21"/>
        </w:rPr>
        <w:t>可疑医疗器械不良事件</w:t>
      </w:r>
      <w:r w:rsidR="003512C8" w:rsidRPr="004E2D6B">
        <w:rPr>
          <w:rFonts w:ascii="Times New Roman" w:hAnsiTheme="minorEastAsia" w:cs="Times New Roman"/>
          <w:kern w:val="0"/>
          <w:szCs w:val="21"/>
        </w:rPr>
        <w:t>报告</w:t>
      </w:r>
      <w:r w:rsidR="006F5AA9" w:rsidRPr="004E2D6B">
        <w:rPr>
          <w:rFonts w:ascii="Times New Roman" w:hAnsiTheme="minorEastAsia" w:cs="Times New Roman"/>
          <w:kern w:val="0"/>
          <w:szCs w:val="21"/>
        </w:rPr>
        <w:t>中，生产企业上报</w:t>
      </w:r>
      <w:r w:rsidR="008F008A" w:rsidRPr="004E2D6B">
        <w:rPr>
          <w:rFonts w:ascii="Times New Roman" w:hAnsi="Times New Roman" w:cs="Times New Roman"/>
          <w:kern w:val="0"/>
          <w:szCs w:val="21"/>
        </w:rPr>
        <w:t>3740</w:t>
      </w:r>
      <w:r w:rsidR="006F5AA9" w:rsidRPr="004E2D6B">
        <w:rPr>
          <w:rFonts w:ascii="Times New Roman" w:hAnsiTheme="minorEastAsia" w:cs="Times New Roman"/>
          <w:kern w:val="0"/>
          <w:szCs w:val="21"/>
        </w:rPr>
        <w:t>份，占</w:t>
      </w:r>
      <w:r w:rsidR="008F008A" w:rsidRPr="004E2D6B">
        <w:rPr>
          <w:rFonts w:ascii="Times New Roman" w:hAnsi="Times New Roman" w:cs="Times New Roman"/>
          <w:kern w:val="0"/>
          <w:szCs w:val="21"/>
        </w:rPr>
        <w:t>51</w:t>
      </w:r>
      <w:r w:rsidR="006F5AA9" w:rsidRPr="004E2D6B">
        <w:rPr>
          <w:rFonts w:ascii="Times New Roman" w:hAnsi="Times New Roman" w:cs="Times New Roman"/>
          <w:kern w:val="0"/>
          <w:szCs w:val="21"/>
        </w:rPr>
        <w:t>%</w:t>
      </w:r>
      <w:r w:rsidR="006F5AA9" w:rsidRPr="004E2D6B">
        <w:rPr>
          <w:rFonts w:ascii="Times New Roman" w:hAnsiTheme="minorEastAsia" w:cs="Times New Roman"/>
          <w:kern w:val="0"/>
          <w:szCs w:val="21"/>
        </w:rPr>
        <w:t>，经营企业上报</w:t>
      </w:r>
      <w:r w:rsidR="00C264C6" w:rsidRPr="004E2D6B">
        <w:rPr>
          <w:rFonts w:ascii="Times New Roman" w:hAnsi="Times New Roman" w:cs="Times New Roman"/>
          <w:kern w:val="0"/>
          <w:szCs w:val="21"/>
        </w:rPr>
        <w:t>6</w:t>
      </w:r>
      <w:r w:rsidR="008F008A" w:rsidRPr="004E2D6B">
        <w:rPr>
          <w:rFonts w:ascii="Times New Roman" w:hAnsi="Times New Roman" w:cs="Times New Roman"/>
          <w:kern w:val="0"/>
          <w:szCs w:val="21"/>
        </w:rPr>
        <w:t>5</w:t>
      </w:r>
      <w:r w:rsidR="00C264C6" w:rsidRPr="004E2D6B">
        <w:rPr>
          <w:rFonts w:ascii="Times New Roman" w:hAnsi="Times New Roman" w:cs="Times New Roman"/>
          <w:kern w:val="0"/>
          <w:szCs w:val="21"/>
        </w:rPr>
        <w:t>4</w:t>
      </w:r>
      <w:r w:rsidR="006F5AA9" w:rsidRPr="004E2D6B">
        <w:rPr>
          <w:rFonts w:ascii="Times New Roman" w:hAnsiTheme="minorEastAsia" w:cs="Times New Roman"/>
          <w:kern w:val="0"/>
          <w:szCs w:val="21"/>
        </w:rPr>
        <w:t>份，占</w:t>
      </w:r>
      <w:r w:rsidR="008F008A" w:rsidRPr="004E2D6B">
        <w:rPr>
          <w:rFonts w:ascii="Times New Roman" w:hAnsi="Times New Roman" w:cs="Times New Roman"/>
          <w:kern w:val="0"/>
          <w:szCs w:val="21"/>
        </w:rPr>
        <w:t>9</w:t>
      </w:r>
      <w:r w:rsidR="006F5AA9" w:rsidRPr="004E2D6B">
        <w:rPr>
          <w:rFonts w:ascii="Times New Roman" w:hAnsi="Times New Roman" w:cs="Times New Roman"/>
          <w:kern w:val="0"/>
          <w:szCs w:val="21"/>
        </w:rPr>
        <w:t>%</w:t>
      </w:r>
      <w:r w:rsidR="006F5AA9" w:rsidRPr="004E2D6B">
        <w:rPr>
          <w:rFonts w:ascii="Times New Roman" w:hAnsiTheme="minorEastAsia" w:cs="Times New Roman"/>
          <w:kern w:val="0"/>
          <w:szCs w:val="21"/>
        </w:rPr>
        <w:t>；使用单位上报</w:t>
      </w:r>
      <w:r w:rsidR="00C264C6" w:rsidRPr="004E2D6B">
        <w:rPr>
          <w:rFonts w:ascii="Times New Roman" w:hAnsi="Times New Roman" w:cs="Times New Roman"/>
          <w:kern w:val="0"/>
          <w:szCs w:val="21"/>
        </w:rPr>
        <w:t>2</w:t>
      </w:r>
      <w:r w:rsidR="008F008A" w:rsidRPr="004E2D6B">
        <w:rPr>
          <w:rFonts w:ascii="Times New Roman" w:hAnsi="Times New Roman" w:cs="Times New Roman"/>
          <w:kern w:val="0"/>
          <w:szCs w:val="21"/>
        </w:rPr>
        <w:t>884</w:t>
      </w:r>
      <w:r w:rsidR="006F5AA9" w:rsidRPr="004E2D6B">
        <w:rPr>
          <w:rFonts w:ascii="Times New Roman" w:hAnsiTheme="minorEastAsia" w:cs="Times New Roman"/>
          <w:kern w:val="0"/>
          <w:szCs w:val="21"/>
        </w:rPr>
        <w:t>份，占</w:t>
      </w:r>
      <w:r w:rsidR="008912B3" w:rsidRPr="004E2D6B">
        <w:rPr>
          <w:rFonts w:ascii="Times New Roman" w:hAnsi="Times New Roman" w:cs="Times New Roman"/>
          <w:kern w:val="0"/>
          <w:szCs w:val="21"/>
        </w:rPr>
        <w:t>4</w:t>
      </w:r>
      <w:r w:rsidR="008F008A" w:rsidRPr="004E2D6B">
        <w:rPr>
          <w:rFonts w:ascii="Times New Roman" w:hAnsi="Times New Roman" w:cs="Times New Roman"/>
          <w:kern w:val="0"/>
          <w:szCs w:val="21"/>
        </w:rPr>
        <w:t>0</w:t>
      </w:r>
      <w:r w:rsidR="006F5AA9" w:rsidRPr="004E2D6B">
        <w:rPr>
          <w:rFonts w:ascii="Times New Roman" w:hAnsi="Times New Roman" w:cs="Times New Roman"/>
          <w:kern w:val="0"/>
          <w:szCs w:val="21"/>
        </w:rPr>
        <w:t>%</w:t>
      </w:r>
      <w:r w:rsidR="006F5AA9" w:rsidRPr="004E2D6B">
        <w:rPr>
          <w:rFonts w:ascii="Times New Roman" w:hAnsiTheme="minorEastAsia" w:cs="Times New Roman"/>
          <w:kern w:val="0"/>
          <w:szCs w:val="21"/>
        </w:rPr>
        <w:t>（</w:t>
      </w:r>
      <w:r w:rsidR="00E21818" w:rsidRPr="004E2D6B">
        <w:rPr>
          <w:rFonts w:ascii="Times New Roman" w:hAnsiTheme="minorEastAsia" w:cs="Times New Roman"/>
          <w:kern w:val="0"/>
          <w:szCs w:val="21"/>
        </w:rPr>
        <w:t>图</w:t>
      </w:r>
      <w:r w:rsidR="00E21818" w:rsidRPr="004E2D6B">
        <w:rPr>
          <w:rFonts w:ascii="Times New Roman" w:hAnsi="Times New Roman" w:cs="Times New Roman"/>
          <w:kern w:val="0"/>
          <w:szCs w:val="21"/>
        </w:rPr>
        <w:t>4</w:t>
      </w:r>
      <w:r w:rsidR="006F5AA9" w:rsidRPr="004E2D6B">
        <w:rPr>
          <w:rFonts w:ascii="Times New Roman" w:hAnsiTheme="minorEastAsia" w:cs="Times New Roman"/>
          <w:kern w:val="0"/>
          <w:szCs w:val="21"/>
        </w:rPr>
        <w:t>）（</w:t>
      </w:r>
      <w:r w:rsidR="00E21818" w:rsidRPr="004E2D6B">
        <w:rPr>
          <w:rFonts w:ascii="Times New Roman" w:hAnsiTheme="minorEastAsia" w:cs="Times New Roman"/>
          <w:kern w:val="0"/>
          <w:szCs w:val="21"/>
        </w:rPr>
        <w:t>图</w:t>
      </w:r>
      <w:r w:rsidR="00E21818" w:rsidRPr="004E2D6B">
        <w:rPr>
          <w:rFonts w:ascii="Times New Roman" w:hAnsi="Times New Roman" w:cs="Times New Roman"/>
          <w:kern w:val="0"/>
          <w:szCs w:val="21"/>
        </w:rPr>
        <w:t>5</w:t>
      </w:r>
      <w:r w:rsidR="006F5AA9" w:rsidRPr="004E2D6B">
        <w:rPr>
          <w:rFonts w:ascii="Times New Roman" w:hAnsiTheme="minorEastAsia" w:cs="Times New Roman"/>
          <w:kern w:val="0"/>
          <w:szCs w:val="21"/>
        </w:rPr>
        <w:t>）。</w:t>
      </w:r>
    </w:p>
    <w:p w:rsidR="00DA5F15" w:rsidRPr="004E2D6B" w:rsidRDefault="008F008A" w:rsidP="00C42905">
      <w:pPr>
        <w:widowControl/>
        <w:shd w:val="clear" w:color="auto" w:fill="FFFFFF"/>
        <w:spacing w:line="360" w:lineRule="auto"/>
        <w:jc w:val="center"/>
        <w:rPr>
          <w:rFonts w:ascii="Times New Roman" w:hAnsi="Times New Roman" w:cs="Times New Roman"/>
          <w:kern w:val="0"/>
          <w:szCs w:val="21"/>
        </w:rPr>
      </w:pPr>
      <w:r w:rsidRPr="004E2D6B">
        <w:rPr>
          <w:rFonts w:ascii="Times New Roman" w:hAnsi="Times New Roman" w:cs="Times New Roman"/>
          <w:noProof/>
          <w:kern w:val="0"/>
          <w:szCs w:val="21"/>
        </w:rPr>
        <w:drawing>
          <wp:inline distT="0" distB="0" distL="0" distR="0">
            <wp:extent cx="4572000" cy="2743200"/>
            <wp:effectExtent l="19050" t="0" r="19050" b="0"/>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09A9" w:rsidRPr="003111E8" w:rsidRDefault="000C2003" w:rsidP="00C42905">
      <w:pPr>
        <w:pStyle w:val="ac"/>
        <w:spacing w:line="360" w:lineRule="auto"/>
        <w:jc w:val="center"/>
        <w:rPr>
          <w:rFonts w:ascii="黑体" w:hAnsi="黑体" w:cs="Times New Roman"/>
          <w:kern w:val="0"/>
          <w:szCs w:val="21"/>
        </w:rPr>
      </w:pPr>
      <w:bookmarkStart w:id="5" w:name="_Ref475535825"/>
      <w:r w:rsidRPr="003111E8">
        <w:rPr>
          <w:rFonts w:ascii="黑体" w:hAnsi="黑体" w:cs="Times New Roman"/>
        </w:rPr>
        <w:t xml:space="preserve">图 </w:t>
      </w:r>
      <w:bookmarkEnd w:id="5"/>
      <w:r w:rsidR="00865C69" w:rsidRPr="003111E8">
        <w:rPr>
          <w:rFonts w:ascii="黑体" w:hAnsi="黑体" w:cs="Times New Roman"/>
        </w:rPr>
        <w:t>4</w:t>
      </w:r>
      <w:r w:rsidRPr="003111E8">
        <w:rPr>
          <w:rFonts w:ascii="黑体" w:hAnsi="黑体" w:cs="Times New Roman"/>
        </w:rPr>
        <w:t xml:space="preserve">. </w:t>
      </w:r>
      <w:r w:rsidR="00F1627F" w:rsidRPr="003111E8">
        <w:rPr>
          <w:rFonts w:ascii="黑体" w:hAnsi="黑体" w:cs="Times New Roman"/>
          <w:kern w:val="0"/>
          <w:szCs w:val="21"/>
        </w:rPr>
        <w:t>201</w:t>
      </w:r>
      <w:r w:rsidR="00483C77">
        <w:rPr>
          <w:rFonts w:ascii="黑体" w:hAnsi="黑体" w:cs="Times New Roman"/>
          <w:kern w:val="0"/>
          <w:szCs w:val="21"/>
        </w:rPr>
        <w:t>7</w:t>
      </w:r>
      <w:bookmarkStart w:id="6" w:name="_GoBack"/>
      <w:bookmarkEnd w:id="6"/>
      <w:r w:rsidR="00F1627F" w:rsidRPr="003111E8">
        <w:rPr>
          <w:rFonts w:ascii="黑体" w:hAnsi="黑体" w:cs="Times New Roman"/>
          <w:kern w:val="0"/>
          <w:szCs w:val="21"/>
        </w:rPr>
        <w:t>年度</w:t>
      </w:r>
      <w:r w:rsidR="006F5AA9" w:rsidRPr="003111E8">
        <w:rPr>
          <w:rFonts w:ascii="黑体" w:hAnsi="黑体" w:cs="Times New Roman"/>
          <w:kern w:val="0"/>
          <w:szCs w:val="21"/>
        </w:rPr>
        <w:t>上海市</w:t>
      </w:r>
      <w:r w:rsidR="00F1627F" w:rsidRPr="003111E8">
        <w:rPr>
          <w:rFonts w:ascii="黑体" w:hAnsi="黑体" w:cs="Times New Roman"/>
          <w:kern w:val="0"/>
        </w:rPr>
        <w:t>可疑医疗器械不良事件报告</w:t>
      </w:r>
      <w:r w:rsidR="006F5AA9" w:rsidRPr="003111E8">
        <w:rPr>
          <w:rFonts w:ascii="黑体" w:hAnsi="黑体" w:cs="Times New Roman"/>
          <w:kern w:val="0"/>
          <w:szCs w:val="21"/>
        </w:rPr>
        <w:t>来源</w:t>
      </w:r>
      <w:r w:rsidR="005C1303" w:rsidRPr="003111E8">
        <w:rPr>
          <w:rFonts w:ascii="黑体" w:hAnsi="黑体" w:cs="Times New Roman"/>
          <w:kern w:val="0"/>
          <w:szCs w:val="21"/>
        </w:rPr>
        <w:t>构成</w:t>
      </w:r>
      <w:r w:rsidR="006F5AA9" w:rsidRPr="003111E8">
        <w:rPr>
          <w:rFonts w:ascii="黑体" w:hAnsi="黑体" w:cs="Times New Roman"/>
          <w:kern w:val="0"/>
          <w:szCs w:val="21"/>
        </w:rPr>
        <w:t>分析</w:t>
      </w:r>
    </w:p>
    <w:p w:rsidR="006F5AA9" w:rsidRPr="004E2D6B" w:rsidRDefault="008F008A" w:rsidP="00C42905">
      <w:pPr>
        <w:spacing w:line="360" w:lineRule="auto"/>
        <w:jc w:val="center"/>
        <w:rPr>
          <w:rFonts w:ascii="Times New Roman" w:hAnsi="Times New Roman" w:cs="Times New Roman"/>
        </w:rPr>
      </w:pPr>
      <w:r w:rsidRPr="004E2D6B">
        <w:rPr>
          <w:rFonts w:ascii="Times New Roman" w:hAnsi="Times New Roman" w:cs="Times New Roman"/>
          <w:noProof/>
        </w:rPr>
        <w:lastRenderedPageBreak/>
        <w:drawing>
          <wp:inline distT="0" distB="0" distL="0" distR="0">
            <wp:extent cx="4572000" cy="2743200"/>
            <wp:effectExtent l="19050" t="0" r="19050" b="0"/>
            <wp:docPr id="1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09A9" w:rsidRDefault="000C2003" w:rsidP="00C42905">
      <w:pPr>
        <w:widowControl/>
        <w:shd w:val="clear" w:color="auto" w:fill="FFFFFF"/>
        <w:spacing w:line="360" w:lineRule="auto"/>
        <w:jc w:val="center"/>
        <w:rPr>
          <w:rFonts w:ascii="黑体" w:eastAsia="黑体" w:hAnsi="黑体" w:cs="Times New Roman"/>
          <w:kern w:val="0"/>
          <w:szCs w:val="21"/>
        </w:rPr>
      </w:pPr>
      <w:bookmarkStart w:id="7" w:name="_Ref475535838"/>
      <w:r w:rsidRPr="003111E8">
        <w:rPr>
          <w:rFonts w:ascii="黑体" w:eastAsia="黑体" w:hAnsi="黑体" w:cs="Times New Roman"/>
        </w:rPr>
        <w:t xml:space="preserve">图 </w:t>
      </w:r>
      <w:bookmarkEnd w:id="7"/>
      <w:r w:rsidR="00865C69" w:rsidRPr="003111E8">
        <w:rPr>
          <w:rFonts w:ascii="黑体" w:eastAsia="黑体" w:hAnsi="黑体" w:cs="Times New Roman"/>
        </w:rPr>
        <w:t>5</w:t>
      </w:r>
      <w:r w:rsidRPr="003111E8">
        <w:rPr>
          <w:rFonts w:ascii="黑体" w:eastAsia="黑体" w:hAnsi="黑体" w:cs="Times New Roman"/>
        </w:rPr>
        <w:t xml:space="preserve">. </w:t>
      </w:r>
      <w:r w:rsidR="006F5AA9" w:rsidRPr="003111E8">
        <w:rPr>
          <w:rFonts w:ascii="黑体" w:eastAsia="黑体" w:hAnsi="黑体" w:cs="Times New Roman"/>
          <w:kern w:val="0"/>
          <w:szCs w:val="21"/>
        </w:rPr>
        <w:t>近</w:t>
      </w:r>
      <w:r w:rsidR="005C1303" w:rsidRPr="003111E8">
        <w:rPr>
          <w:rFonts w:ascii="黑体" w:eastAsia="黑体" w:hAnsi="黑体" w:cs="Times New Roman"/>
          <w:kern w:val="0"/>
          <w:szCs w:val="21"/>
        </w:rPr>
        <w:t>三</w:t>
      </w:r>
      <w:r w:rsidR="006F5AA9" w:rsidRPr="003111E8">
        <w:rPr>
          <w:rFonts w:ascii="黑体" w:eastAsia="黑体" w:hAnsi="黑体" w:cs="Times New Roman"/>
          <w:kern w:val="0"/>
          <w:szCs w:val="21"/>
        </w:rPr>
        <w:t>年上海市</w:t>
      </w:r>
      <w:r w:rsidR="00F1627F" w:rsidRPr="003111E8">
        <w:rPr>
          <w:rFonts w:ascii="黑体" w:eastAsia="黑体" w:hAnsi="黑体" w:cs="Times New Roman"/>
          <w:kern w:val="0"/>
        </w:rPr>
        <w:t>可疑医疗器械不良事件报告</w:t>
      </w:r>
      <w:r w:rsidR="005C1303" w:rsidRPr="003111E8">
        <w:rPr>
          <w:rFonts w:ascii="黑体" w:eastAsia="黑体" w:hAnsi="黑体" w:cs="Times New Roman"/>
          <w:kern w:val="0"/>
          <w:szCs w:val="21"/>
        </w:rPr>
        <w:t>来源数量分析</w:t>
      </w:r>
    </w:p>
    <w:p w:rsidR="003111E8" w:rsidRPr="003111E8" w:rsidRDefault="003111E8" w:rsidP="00C42905">
      <w:pPr>
        <w:widowControl/>
        <w:shd w:val="clear" w:color="auto" w:fill="FFFFFF"/>
        <w:spacing w:line="360" w:lineRule="auto"/>
        <w:jc w:val="center"/>
        <w:rPr>
          <w:rFonts w:ascii="黑体" w:eastAsia="黑体" w:hAnsi="黑体" w:cs="Times New Roman"/>
          <w:kern w:val="0"/>
          <w:szCs w:val="21"/>
        </w:rPr>
      </w:pPr>
    </w:p>
    <w:p w:rsidR="006F5AA9" w:rsidRPr="004E2D6B" w:rsidRDefault="00096AB6" w:rsidP="00C42905">
      <w:pPr>
        <w:widowControl/>
        <w:shd w:val="clear" w:color="auto" w:fill="FFFFFF"/>
        <w:spacing w:line="360" w:lineRule="auto"/>
        <w:ind w:firstLineChars="202" w:firstLine="426"/>
        <w:jc w:val="left"/>
        <w:outlineLvl w:val="0"/>
        <w:rPr>
          <w:rFonts w:ascii="Times New Roman" w:hAnsi="Times New Roman" w:cs="Times New Roman"/>
          <w:b/>
          <w:bCs/>
          <w:kern w:val="0"/>
          <w:szCs w:val="21"/>
        </w:rPr>
      </w:pPr>
      <w:r w:rsidRPr="004E2D6B">
        <w:rPr>
          <w:rFonts w:ascii="Times New Roman" w:hAnsi="Times New Roman" w:cs="Times New Roman"/>
          <w:b/>
          <w:bCs/>
          <w:kern w:val="0"/>
          <w:szCs w:val="21"/>
        </w:rPr>
        <w:t>2</w:t>
      </w:r>
      <w:r w:rsidR="006F5AA9" w:rsidRPr="004E2D6B">
        <w:rPr>
          <w:rFonts w:ascii="Times New Roman" w:hAnsi="Times New Roman" w:cs="Times New Roman"/>
          <w:b/>
          <w:bCs/>
          <w:kern w:val="0"/>
          <w:szCs w:val="21"/>
        </w:rPr>
        <w:t>.</w:t>
      </w:r>
      <w:r w:rsidR="006F5AA9" w:rsidRPr="004E2D6B">
        <w:rPr>
          <w:rFonts w:ascii="Times New Roman" w:hAnsiTheme="minorEastAsia" w:cs="Times New Roman"/>
          <w:b/>
          <w:bCs/>
          <w:kern w:val="0"/>
          <w:szCs w:val="21"/>
        </w:rPr>
        <w:t>医疗器械</w:t>
      </w:r>
      <w:r w:rsidR="00E91945" w:rsidRPr="004E2D6B">
        <w:rPr>
          <w:rFonts w:ascii="Times New Roman" w:hAnsiTheme="minorEastAsia" w:cs="Times New Roman"/>
          <w:b/>
          <w:bCs/>
          <w:kern w:val="0"/>
          <w:szCs w:val="21"/>
        </w:rPr>
        <w:t>产品管理类别</w:t>
      </w:r>
      <w:r w:rsidR="006F5AA9" w:rsidRPr="004E2D6B">
        <w:rPr>
          <w:rFonts w:ascii="Times New Roman" w:hAnsiTheme="minorEastAsia" w:cs="Times New Roman"/>
          <w:b/>
          <w:bCs/>
          <w:kern w:val="0"/>
          <w:szCs w:val="21"/>
        </w:rPr>
        <w:t>分析</w:t>
      </w:r>
    </w:p>
    <w:p w:rsidR="00F757BE" w:rsidRPr="004E2D6B" w:rsidRDefault="006F5AA9" w:rsidP="00C42905">
      <w:pPr>
        <w:widowControl/>
        <w:shd w:val="clear" w:color="auto" w:fill="FFFFFF"/>
        <w:spacing w:line="360" w:lineRule="auto"/>
        <w:ind w:firstLineChars="202" w:firstLine="424"/>
        <w:jc w:val="left"/>
        <w:rPr>
          <w:rFonts w:ascii="Times New Roman" w:hAnsi="Times New Roman" w:cs="Times New Roman"/>
          <w:kern w:val="0"/>
          <w:szCs w:val="21"/>
        </w:rPr>
      </w:pPr>
      <w:r w:rsidRPr="004E2D6B">
        <w:rPr>
          <w:rFonts w:ascii="Times New Roman" w:hAnsi="Times New Roman" w:cs="Times New Roman"/>
          <w:kern w:val="0"/>
          <w:szCs w:val="21"/>
        </w:rPr>
        <w:t>201</w:t>
      </w:r>
      <w:r w:rsidR="008F008A" w:rsidRPr="004E2D6B">
        <w:rPr>
          <w:rFonts w:ascii="Times New Roman" w:hAnsi="Times New Roman" w:cs="Times New Roman"/>
          <w:kern w:val="0"/>
          <w:szCs w:val="21"/>
        </w:rPr>
        <w:t>7</w:t>
      </w:r>
      <w:r w:rsidRPr="004E2D6B">
        <w:rPr>
          <w:rFonts w:ascii="Times New Roman" w:hAnsiTheme="minorEastAsia" w:cs="Times New Roman"/>
          <w:kern w:val="0"/>
          <w:szCs w:val="21"/>
        </w:rPr>
        <w:t>年本市</w:t>
      </w:r>
      <w:r w:rsidR="005C1303" w:rsidRPr="004E2D6B">
        <w:rPr>
          <w:rFonts w:ascii="Times New Roman" w:hAnsiTheme="minorEastAsia" w:cs="Times New Roman"/>
          <w:kern w:val="0"/>
        </w:rPr>
        <w:t>可疑医疗器械不良事件报告</w:t>
      </w:r>
      <w:r w:rsidRPr="004E2D6B">
        <w:rPr>
          <w:rFonts w:ascii="Times New Roman" w:hAnsiTheme="minorEastAsia" w:cs="Times New Roman"/>
          <w:kern w:val="0"/>
          <w:szCs w:val="21"/>
        </w:rPr>
        <w:t>中，涉及的器械主要为</w:t>
      </w:r>
      <w:r w:rsidR="008264AC" w:rsidRPr="004E2D6B">
        <w:rPr>
          <w:rFonts w:ascii="Times New Roman" w:hAnsi="Times New Roman" w:cs="Times New Roman"/>
          <w:kern w:val="0"/>
          <w:szCs w:val="21"/>
        </w:rPr>
        <w:t>III</w:t>
      </w:r>
      <w:r w:rsidRPr="004E2D6B">
        <w:rPr>
          <w:rFonts w:ascii="Times New Roman" w:hAnsiTheme="minorEastAsia" w:cs="Times New Roman"/>
          <w:kern w:val="0"/>
          <w:szCs w:val="21"/>
        </w:rPr>
        <w:t>类产品，</w:t>
      </w:r>
      <w:r w:rsidR="00F757BE" w:rsidRPr="004E2D6B">
        <w:rPr>
          <w:rFonts w:ascii="Times New Roman" w:hAnsiTheme="minorEastAsia" w:cs="Times New Roman"/>
          <w:kern w:val="0"/>
          <w:szCs w:val="21"/>
        </w:rPr>
        <w:t>有</w:t>
      </w:r>
      <w:r w:rsidR="008F008A" w:rsidRPr="004E2D6B">
        <w:rPr>
          <w:rFonts w:ascii="Times New Roman" w:hAnsi="Times New Roman" w:cs="Times New Roman"/>
          <w:kern w:val="0"/>
          <w:szCs w:val="21"/>
        </w:rPr>
        <w:t>4130</w:t>
      </w:r>
      <w:r w:rsidRPr="004E2D6B">
        <w:rPr>
          <w:rFonts w:ascii="Times New Roman" w:hAnsiTheme="minorEastAsia" w:cs="Times New Roman"/>
          <w:kern w:val="0"/>
          <w:szCs w:val="21"/>
        </w:rPr>
        <w:t>份，占</w:t>
      </w:r>
      <w:r w:rsidR="008F008A" w:rsidRPr="004E2D6B">
        <w:rPr>
          <w:rFonts w:ascii="Times New Roman" w:hAnsi="Times New Roman" w:cs="Times New Roman"/>
          <w:kern w:val="0"/>
          <w:szCs w:val="21"/>
        </w:rPr>
        <w:t>57</w:t>
      </w:r>
      <w:r w:rsidRPr="004E2D6B">
        <w:rPr>
          <w:rFonts w:ascii="Times New Roman" w:hAnsi="Times New Roman" w:cs="Times New Roman"/>
          <w:kern w:val="0"/>
          <w:szCs w:val="21"/>
        </w:rPr>
        <w:t>%</w:t>
      </w:r>
      <w:r w:rsidR="008264AC" w:rsidRPr="004E2D6B">
        <w:rPr>
          <w:rFonts w:ascii="Times New Roman" w:hAnsiTheme="minorEastAsia" w:cs="Times New Roman"/>
          <w:kern w:val="0"/>
          <w:szCs w:val="21"/>
        </w:rPr>
        <w:t>；其次为</w:t>
      </w:r>
      <w:r w:rsidR="008264AC" w:rsidRPr="004E2D6B">
        <w:rPr>
          <w:rFonts w:ascii="Times New Roman" w:hAnsi="Times New Roman" w:cs="Times New Roman"/>
          <w:kern w:val="0"/>
          <w:szCs w:val="21"/>
        </w:rPr>
        <w:t>II</w:t>
      </w:r>
      <w:r w:rsidRPr="004E2D6B">
        <w:rPr>
          <w:rFonts w:ascii="Times New Roman" w:hAnsiTheme="minorEastAsia" w:cs="Times New Roman"/>
          <w:kern w:val="0"/>
          <w:szCs w:val="21"/>
        </w:rPr>
        <w:t>类产品</w:t>
      </w:r>
      <w:r w:rsidR="008264AC" w:rsidRPr="004E2D6B">
        <w:rPr>
          <w:rFonts w:ascii="Times New Roman" w:hAnsiTheme="minorEastAsia" w:cs="Times New Roman"/>
          <w:kern w:val="0"/>
          <w:szCs w:val="21"/>
        </w:rPr>
        <w:t>，</w:t>
      </w:r>
      <w:r w:rsidR="00F757BE" w:rsidRPr="004E2D6B">
        <w:rPr>
          <w:rFonts w:ascii="Times New Roman" w:hAnsiTheme="minorEastAsia" w:cs="Times New Roman"/>
          <w:kern w:val="0"/>
          <w:szCs w:val="21"/>
        </w:rPr>
        <w:t>有</w:t>
      </w:r>
      <w:r w:rsidR="00BB64FF" w:rsidRPr="004E2D6B">
        <w:rPr>
          <w:rFonts w:ascii="Times New Roman" w:hAnsi="Times New Roman" w:cs="Times New Roman"/>
          <w:kern w:val="0"/>
          <w:szCs w:val="21"/>
        </w:rPr>
        <w:t>2</w:t>
      </w:r>
      <w:r w:rsidR="008F008A" w:rsidRPr="004E2D6B">
        <w:rPr>
          <w:rFonts w:ascii="Times New Roman" w:hAnsi="Times New Roman" w:cs="Times New Roman"/>
          <w:kern w:val="0"/>
          <w:szCs w:val="21"/>
        </w:rPr>
        <w:t>622</w:t>
      </w:r>
      <w:r w:rsidRPr="004E2D6B">
        <w:rPr>
          <w:rFonts w:ascii="Times New Roman" w:hAnsiTheme="minorEastAsia" w:cs="Times New Roman"/>
          <w:kern w:val="0"/>
          <w:szCs w:val="21"/>
        </w:rPr>
        <w:t>份，占</w:t>
      </w:r>
      <w:r w:rsidR="008F008A" w:rsidRPr="004E2D6B">
        <w:rPr>
          <w:rFonts w:ascii="Times New Roman" w:hAnsi="Times New Roman" w:cs="Times New Roman"/>
          <w:kern w:val="0"/>
          <w:szCs w:val="21"/>
        </w:rPr>
        <w:t>36</w:t>
      </w:r>
      <w:r w:rsidRPr="004E2D6B">
        <w:rPr>
          <w:rFonts w:ascii="Times New Roman" w:hAnsi="Times New Roman" w:cs="Times New Roman"/>
          <w:kern w:val="0"/>
          <w:szCs w:val="21"/>
        </w:rPr>
        <w:t>%</w:t>
      </w:r>
      <w:r w:rsidR="008264AC" w:rsidRPr="004E2D6B">
        <w:rPr>
          <w:rFonts w:ascii="Times New Roman" w:hAnsiTheme="minorEastAsia" w:cs="Times New Roman"/>
          <w:kern w:val="0"/>
          <w:szCs w:val="21"/>
        </w:rPr>
        <w:t>；最后为</w:t>
      </w:r>
      <w:r w:rsidR="008264AC" w:rsidRPr="004E2D6B">
        <w:rPr>
          <w:rFonts w:ascii="Times New Roman" w:hAnsi="Times New Roman" w:cs="Times New Roman"/>
          <w:kern w:val="0"/>
          <w:szCs w:val="21"/>
        </w:rPr>
        <w:t>I</w:t>
      </w:r>
      <w:r w:rsidRPr="004E2D6B">
        <w:rPr>
          <w:rFonts w:ascii="Times New Roman" w:hAnsiTheme="minorEastAsia" w:cs="Times New Roman"/>
          <w:kern w:val="0"/>
          <w:szCs w:val="21"/>
        </w:rPr>
        <w:t>类产品</w:t>
      </w:r>
      <w:r w:rsidR="008264AC" w:rsidRPr="004E2D6B">
        <w:rPr>
          <w:rFonts w:ascii="Times New Roman" w:hAnsiTheme="minorEastAsia" w:cs="Times New Roman"/>
          <w:kern w:val="0"/>
          <w:szCs w:val="21"/>
        </w:rPr>
        <w:t>，</w:t>
      </w:r>
      <w:r w:rsidR="00F757BE" w:rsidRPr="004E2D6B">
        <w:rPr>
          <w:rFonts w:ascii="Times New Roman" w:hAnsiTheme="minorEastAsia" w:cs="Times New Roman"/>
          <w:kern w:val="0"/>
          <w:szCs w:val="21"/>
        </w:rPr>
        <w:t>有</w:t>
      </w:r>
      <w:r w:rsidR="008F008A" w:rsidRPr="004E2D6B">
        <w:rPr>
          <w:rFonts w:ascii="Times New Roman" w:hAnsi="Times New Roman" w:cs="Times New Roman"/>
          <w:kern w:val="0"/>
          <w:szCs w:val="21"/>
        </w:rPr>
        <w:t>526</w:t>
      </w:r>
      <w:r w:rsidRPr="004E2D6B">
        <w:rPr>
          <w:rFonts w:ascii="Times New Roman" w:hAnsiTheme="minorEastAsia" w:cs="Times New Roman"/>
          <w:kern w:val="0"/>
          <w:szCs w:val="21"/>
        </w:rPr>
        <w:t>份，占</w:t>
      </w:r>
      <w:r w:rsidR="008F008A" w:rsidRPr="004E2D6B">
        <w:rPr>
          <w:rFonts w:ascii="Times New Roman" w:hAnsi="Times New Roman" w:cs="Times New Roman"/>
          <w:kern w:val="0"/>
          <w:szCs w:val="21"/>
        </w:rPr>
        <w:t>7</w:t>
      </w:r>
      <w:r w:rsidRPr="004E2D6B">
        <w:rPr>
          <w:rFonts w:ascii="Times New Roman" w:hAnsi="Times New Roman" w:cs="Times New Roman"/>
          <w:kern w:val="0"/>
          <w:szCs w:val="21"/>
        </w:rPr>
        <w:t>%</w:t>
      </w:r>
      <w:r w:rsidR="00A60C56" w:rsidRPr="004E2D6B">
        <w:rPr>
          <w:rFonts w:ascii="Times New Roman" w:hAnsiTheme="minorEastAsia" w:cs="Times New Roman"/>
          <w:kern w:val="0"/>
          <w:szCs w:val="21"/>
        </w:rPr>
        <w:t>（</w:t>
      </w:r>
      <w:r w:rsidR="00E21818" w:rsidRPr="004E2D6B">
        <w:rPr>
          <w:rFonts w:ascii="Times New Roman" w:hAnsiTheme="minorEastAsia" w:cs="Times New Roman"/>
          <w:kern w:val="0"/>
          <w:szCs w:val="21"/>
        </w:rPr>
        <w:t>图</w:t>
      </w:r>
      <w:r w:rsidR="00E21818" w:rsidRPr="004E2D6B">
        <w:rPr>
          <w:rFonts w:ascii="Times New Roman" w:hAnsi="Times New Roman" w:cs="Times New Roman"/>
          <w:kern w:val="0"/>
          <w:szCs w:val="21"/>
        </w:rPr>
        <w:t>6</w:t>
      </w:r>
      <w:r w:rsidR="00A60C56" w:rsidRPr="004E2D6B">
        <w:rPr>
          <w:rFonts w:ascii="Times New Roman" w:hAnsiTheme="minorEastAsia" w:cs="Times New Roman"/>
          <w:kern w:val="0"/>
          <w:szCs w:val="21"/>
        </w:rPr>
        <w:t>）</w:t>
      </w:r>
      <w:r w:rsidR="00BB64FF" w:rsidRPr="004E2D6B">
        <w:rPr>
          <w:rFonts w:ascii="Times New Roman" w:hAnsiTheme="minorEastAsia" w:cs="Times New Roman"/>
          <w:kern w:val="0"/>
          <w:szCs w:val="21"/>
        </w:rPr>
        <w:t>。</w:t>
      </w:r>
    </w:p>
    <w:p w:rsidR="006F5AA9" w:rsidRPr="004E2D6B" w:rsidRDefault="008F008A" w:rsidP="00C42905">
      <w:pPr>
        <w:widowControl/>
        <w:shd w:val="clear" w:color="auto" w:fill="FFFFFF"/>
        <w:spacing w:line="360" w:lineRule="auto"/>
        <w:ind w:firstLineChars="202" w:firstLine="424"/>
        <w:jc w:val="left"/>
        <w:rPr>
          <w:rFonts w:ascii="Times New Roman" w:hAnsi="Times New Roman" w:cs="Times New Roman"/>
          <w:kern w:val="0"/>
          <w:szCs w:val="21"/>
        </w:rPr>
      </w:pPr>
      <w:r w:rsidRPr="004E2D6B">
        <w:rPr>
          <w:rFonts w:ascii="Times New Roman" w:hAnsi="Times New Roman" w:cs="Times New Roman"/>
          <w:noProof/>
          <w:kern w:val="0"/>
          <w:szCs w:val="21"/>
        </w:rPr>
        <w:drawing>
          <wp:inline distT="0" distB="0" distL="0" distR="0">
            <wp:extent cx="4572000" cy="2743200"/>
            <wp:effectExtent l="19050" t="0" r="19050" b="0"/>
            <wp:docPr id="1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5AA9" w:rsidRPr="003111E8" w:rsidRDefault="000C2003" w:rsidP="00C42905">
      <w:pPr>
        <w:pStyle w:val="ac"/>
        <w:spacing w:line="360" w:lineRule="auto"/>
        <w:jc w:val="center"/>
        <w:rPr>
          <w:rFonts w:ascii="黑体" w:hAnsi="黑体" w:cs="Times New Roman"/>
          <w:kern w:val="0"/>
          <w:szCs w:val="21"/>
        </w:rPr>
      </w:pPr>
      <w:bookmarkStart w:id="8" w:name="_Ref475535852"/>
      <w:r w:rsidRPr="003111E8">
        <w:rPr>
          <w:rFonts w:ascii="黑体" w:hAnsi="黑体" w:cs="Times New Roman"/>
        </w:rPr>
        <w:t xml:space="preserve">图 </w:t>
      </w:r>
      <w:bookmarkEnd w:id="8"/>
      <w:r w:rsidR="00865C69" w:rsidRPr="003111E8">
        <w:rPr>
          <w:rFonts w:ascii="黑体" w:hAnsi="黑体" w:cs="Times New Roman"/>
        </w:rPr>
        <w:t>6</w:t>
      </w:r>
      <w:r w:rsidRPr="003111E8">
        <w:rPr>
          <w:rFonts w:ascii="黑体" w:hAnsi="黑体" w:cs="Times New Roman"/>
        </w:rPr>
        <w:t xml:space="preserve">. </w:t>
      </w:r>
      <w:r w:rsidR="008264AC" w:rsidRPr="003111E8">
        <w:rPr>
          <w:rFonts w:ascii="黑体" w:hAnsi="黑体" w:cs="Times New Roman"/>
          <w:kern w:val="0"/>
        </w:rPr>
        <w:t>可疑医疗器械不良事件报告</w:t>
      </w:r>
      <w:r w:rsidR="006F5AA9" w:rsidRPr="003111E8">
        <w:rPr>
          <w:rFonts w:ascii="黑体" w:hAnsi="黑体" w:cs="Times New Roman"/>
          <w:kern w:val="0"/>
          <w:szCs w:val="21"/>
        </w:rPr>
        <w:t>涉及的产品管理类别分析</w:t>
      </w:r>
    </w:p>
    <w:p w:rsidR="003111E8" w:rsidRPr="003111E8" w:rsidRDefault="003111E8" w:rsidP="003111E8"/>
    <w:p w:rsidR="00E21818" w:rsidRPr="004E2D6B" w:rsidRDefault="00E21818" w:rsidP="00C42905">
      <w:pPr>
        <w:widowControl/>
        <w:shd w:val="clear" w:color="auto" w:fill="FFFFFF"/>
        <w:spacing w:line="360" w:lineRule="auto"/>
        <w:ind w:firstLineChars="202" w:firstLine="426"/>
        <w:jc w:val="left"/>
        <w:rPr>
          <w:rFonts w:ascii="Times New Roman" w:hAnsi="Times New Roman" w:cs="Times New Roman"/>
          <w:b/>
          <w:kern w:val="0"/>
        </w:rPr>
      </w:pPr>
      <w:r w:rsidRPr="004E2D6B">
        <w:rPr>
          <w:rFonts w:ascii="Times New Roman" w:hAnsi="Times New Roman" w:cs="Times New Roman"/>
          <w:b/>
          <w:kern w:val="0"/>
        </w:rPr>
        <w:t>3</w:t>
      </w:r>
      <w:r w:rsidRPr="004E2D6B">
        <w:rPr>
          <w:rFonts w:ascii="Times New Roman" w:hAnsiTheme="minorEastAsia" w:cs="Times New Roman"/>
          <w:b/>
          <w:kern w:val="0"/>
        </w:rPr>
        <w:t>．上海生产产品分析</w:t>
      </w:r>
    </w:p>
    <w:p w:rsidR="00A71F57" w:rsidRPr="004E2D6B" w:rsidRDefault="00A71F57" w:rsidP="00C42905">
      <w:pPr>
        <w:widowControl/>
        <w:shd w:val="clear" w:color="auto" w:fill="FFFFFF"/>
        <w:spacing w:line="360" w:lineRule="auto"/>
        <w:ind w:firstLineChars="202" w:firstLine="424"/>
        <w:jc w:val="left"/>
        <w:rPr>
          <w:rFonts w:ascii="Times New Roman" w:hAnsi="Times New Roman" w:cs="Times New Roman"/>
          <w:kern w:val="0"/>
          <w:szCs w:val="21"/>
        </w:rPr>
      </w:pPr>
      <w:r w:rsidRPr="004E2D6B">
        <w:rPr>
          <w:rFonts w:ascii="Times New Roman" w:hAnsiTheme="minorEastAsia" w:cs="Times New Roman"/>
          <w:kern w:val="0"/>
        </w:rPr>
        <w:t>可疑医疗器械不良事件报告</w:t>
      </w:r>
      <w:r w:rsidR="00C93443" w:rsidRPr="004E2D6B">
        <w:rPr>
          <w:rFonts w:ascii="Times New Roman" w:hAnsiTheme="minorEastAsia" w:cs="Times New Roman"/>
          <w:kern w:val="0"/>
        </w:rPr>
        <w:t>中</w:t>
      </w:r>
      <w:r w:rsidRPr="004E2D6B">
        <w:rPr>
          <w:rFonts w:ascii="Times New Roman" w:hAnsiTheme="minorEastAsia" w:cs="Times New Roman"/>
          <w:kern w:val="0"/>
          <w:szCs w:val="21"/>
        </w:rPr>
        <w:t>涉及上海</w:t>
      </w:r>
      <w:r w:rsidR="00C46CD7" w:rsidRPr="004E2D6B">
        <w:rPr>
          <w:rFonts w:ascii="Times New Roman" w:hAnsiTheme="minorEastAsia" w:cs="Times New Roman"/>
          <w:kern w:val="0"/>
          <w:szCs w:val="21"/>
        </w:rPr>
        <w:t>生产的</w:t>
      </w:r>
      <w:r w:rsidR="00C93443" w:rsidRPr="004E2D6B">
        <w:rPr>
          <w:rFonts w:ascii="Times New Roman" w:hAnsiTheme="minorEastAsia" w:cs="Times New Roman"/>
          <w:kern w:val="0"/>
          <w:szCs w:val="21"/>
        </w:rPr>
        <w:t>产品</w:t>
      </w:r>
      <w:r w:rsidRPr="004E2D6B">
        <w:rPr>
          <w:rFonts w:ascii="Times New Roman" w:hAnsiTheme="minorEastAsia" w:cs="Times New Roman"/>
          <w:kern w:val="0"/>
          <w:szCs w:val="21"/>
        </w:rPr>
        <w:t>有</w:t>
      </w:r>
      <w:r w:rsidR="008F008A" w:rsidRPr="004E2D6B">
        <w:rPr>
          <w:rFonts w:ascii="Times New Roman" w:hAnsi="Times New Roman" w:cs="Times New Roman"/>
          <w:kern w:val="0"/>
          <w:szCs w:val="21"/>
        </w:rPr>
        <w:t>5430</w:t>
      </w:r>
      <w:r w:rsidRPr="004E2D6B">
        <w:rPr>
          <w:rFonts w:ascii="Times New Roman" w:hAnsiTheme="minorEastAsia" w:cs="Times New Roman"/>
          <w:kern w:val="0"/>
          <w:szCs w:val="21"/>
        </w:rPr>
        <w:t>，占总报告数的</w:t>
      </w:r>
      <w:r w:rsidR="00C46CD7" w:rsidRPr="004E2D6B">
        <w:rPr>
          <w:rFonts w:ascii="Times New Roman" w:hAnsi="Times New Roman" w:cs="Times New Roman"/>
          <w:kern w:val="0"/>
          <w:szCs w:val="21"/>
        </w:rPr>
        <w:t>74.6</w:t>
      </w:r>
      <w:r w:rsidRPr="004E2D6B">
        <w:rPr>
          <w:rFonts w:ascii="Times New Roman" w:hAnsi="Times New Roman" w:cs="Times New Roman"/>
          <w:kern w:val="0"/>
          <w:szCs w:val="21"/>
        </w:rPr>
        <w:t>%</w:t>
      </w:r>
      <w:r w:rsidRPr="004E2D6B">
        <w:rPr>
          <w:rFonts w:ascii="Times New Roman" w:hAnsiTheme="minorEastAsia" w:cs="Times New Roman"/>
          <w:kern w:val="0"/>
          <w:szCs w:val="21"/>
        </w:rPr>
        <w:t>，其中</w:t>
      </w:r>
      <w:r w:rsidRPr="004E2D6B">
        <w:rPr>
          <w:rFonts w:ascii="Times New Roman" w:hAnsi="Times New Roman" w:cs="Times New Roman"/>
          <w:kern w:val="0"/>
          <w:szCs w:val="21"/>
        </w:rPr>
        <w:t>III</w:t>
      </w:r>
      <w:r w:rsidRPr="004E2D6B">
        <w:rPr>
          <w:rFonts w:ascii="Times New Roman" w:hAnsiTheme="minorEastAsia" w:cs="Times New Roman"/>
          <w:kern w:val="0"/>
          <w:szCs w:val="21"/>
        </w:rPr>
        <w:t>类产品</w:t>
      </w:r>
      <w:r w:rsidR="00C46CD7" w:rsidRPr="004E2D6B">
        <w:rPr>
          <w:rFonts w:ascii="Times New Roman" w:hAnsi="Times New Roman" w:cs="Times New Roman"/>
          <w:kern w:val="0"/>
          <w:szCs w:val="21"/>
        </w:rPr>
        <w:t>3648</w:t>
      </w:r>
      <w:r w:rsidRPr="004E2D6B">
        <w:rPr>
          <w:rFonts w:ascii="Times New Roman" w:hAnsiTheme="minorEastAsia" w:cs="Times New Roman"/>
          <w:kern w:val="0"/>
          <w:szCs w:val="21"/>
        </w:rPr>
        <w:t>份，</w:t>
      </w:r>
      <w:r w:rsidRPr="004E2D6B">
        <w:rPr>
          <w:rFonts w:ascii="Times New Roman" w:hAnsi="Times New Roman" w:cs="Times New Roman"/>
          <w:kern w:val="0"/>
          <w:szCs w:val="21"/>
        </w:rPr>
        <w:t>II</w:t>
      </w:r>
      <w:r w:rsidRPr="004E2D6B">
        <w:rPr>
          <w:rFonts w:ascii="Times New Roman" w:hAnsiTheme="minorEastAsia" w:cs="Times New Roman"/>
          <w:kern w:val="0"/>
          <w:szCs w:val="21"/>
        </w:rPr>
        <w:t>类产品</w:t>
      </w:r>
      <w:r w:rsidR="00C46CD7" w:rsidRPr="004E2D6B">
        <w:rPr>
          <w:rFonts w:ascii="Times New Roman" w:hAnsi="Times New Roman" w:cs="Times New Roman"/>
          <w:kern w:val="0"/>
          <w:szCs w:val="21"/>
        </w:rPr>
        <w:t>1555</w:t>
      </w:r>
      <w:r w:rsidRPr="004E2D6B">
        <w:rPr>
          <w:rFonts w:ascii="Times New Roman" w:hAnsiTheme="minorEastAsia" w:cs="Times New Roman"/>
          <w:kern w:val="0"/>
          <w:szCs w:val="21"/>
        </w:rPr>
        <w:t>份，</w:t>
      </w:r>
      <w:r w:rsidRPr="004E2D6B">
        <w:rPr>
          <w:rFonts w:ascii="Times New Roman" w:hAnsi="Times New Roman" w:cs="Times New Roman"/>
          <w:kern w:val="0"/>
          <w:szCs w:val="21"/>
        </w:rPr>
        <w:t>I</w:t>
      </w:r>
      <w:r w:rsidRPr="004E2D6B">
        <w:rPr>
          <w:rFonts w:ascii="Times New Roman" w:hAnsiTheme="minorEastAsia" w:cs="Times New Roman"/>
          <w:kern w:val="0"/>
          <w:szCs w:val="21"/>
        </w:rPr>
        <w:t>类产品</w:t>
      </w:r>
      <w:r w:rsidR="00C46CD7" w:rsidRPr="004E2D6B">
        <w:rPr>
          <w:rFonts w:ascii="Times New Roman" w:hAnsi="Times New Roman" w:cs="Times New Roman"/>
          <w:kern w:val="0"/>
          <w:szCs w:val="21"/>
        </w:rPr>
        <w:t>227</w:t>
      </w:r>
      <w:r w:rsidRPr="004E2D6B">
        <w:rPr>
          <w:rFonts w:ascii="Times New Roman" w:hAnsiTheme="minorEastAsia" w:cs="Times New Roman"/>
          <w:kern w:val="0"/>
          <w:szCs w:val="21"/>
        </w:rPr>
        <w:t>份</w:t>
      </w:r>
      <w:r w:rsidR="00031BE3" w:rsidRPr="004E2D6B">
        <w:rPr>
          <w:rFonts w:ascii="Times New Roman" w:hAnsiTheme="minorEastAsia" w:cs="Times New Roman"/>
          <w:kern w:val="0"/>
          <w:szCs w:val="21"/>
        </w:rPr>
        <w:t>（</w:t>
      </w:r>
      <w:r w:rsidR="00E21818" w:rsidRPr="004E2D6B">
        <w:rPr>
          <w:rFonts w:ascii="Times New Roman" w:hAnsiTheme="minorEastAsia" w:cs="Times New Roman"/>
        </w:rPr>
        <w:t>图</w:t>
      </w:r>
      <w:r w:rsidR="00E21818" w:rsidRPr="004E2D6B">
        <w:rPr>
          <w:rFonts w:ascii="Times New Roman" w:hAnsi="Times New Roman" w:cs="Times New Roman"/>
        </w:rPr>
        <w:t>7</w:t>
      </w:r>
      <w:r w:rsidR="00031BE3" w:rsidRPr="004E2D6B">
        <w:rPr>
          <w:rFonts w:ascii="Times New Roman" w:hAnsiTheme="minorEastAsia" w:cs="Times New Roman"/>
          <w:kern w:val="0"/>
          <w:szCs w:val="21"/>
        </w:rPr>
        <w:t>）</w:t>
      </w:r>
      <w:r w:rsidRPr="004E2D6B">
        <w:rPr>
          <w:rFonts w:ascii="Times New Roman" w:hAnsiTheme="minorEastAsia" w:cs="Times New Roman"/>
          <w:kern w:val="0"/>
          <w:szCs w:val="21"/>
        </w:rPr>
        <w:t>。</w:t>
      </w:r>
    </w:p>
    <w:p w:rsidR="00A71F57" w:rsidRPr="004E2D6B" w:rsidRDefault="004E2D6B" w:rsidP="00C42905">
      <w:pPr>
        <w:widowControl/>
        <w:shd w:val="clear" w:color="auto" w:fill="FFFFFF"/>
        <w:spacing w:line="360" w:lineRule="auto"/>
        <w:ind w:firstLineChars="202" w:firstLine="424"/>
        <w:jc w:val="left"/>
        <w:rPr>
          <w:rFonts w:ascii="Times New Roman" w:hAnsi="Times New Roman" w:cs="Times New Roman"/>
          <w:kern w:val="0"/>
          <w:szCs w:val="21"/>
        </w:rPr>
      </w:pPr>
      <w:r w:rsidRPr="004E2D6B">
        <w:rPr>
          <w:rFonts w:ascii="Times New Roman" w:hAnsi="Times New Roman" w:cs="Times New Roman"/>
          <w:noProof/>
          <w:kern w:val="0"/>
          <w:szCs w:val="21"/>
        </w:rPr>
        <w:lastRenderedPageBreak/>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2003" w:rsidRPr="003111E8" w:rsidRDefault="000C2003" w:rsidP="00C42905">
      <w:pPr>
        <w:pStyle w:val="ac"/>
        <w:spacing w:line="360" w:lineRule="auto"/>
        <w:jc w:val="center"/>
        <w:rPr>
          <w:rFonts w:ascii="黑体" w:hAnsi="黑体" w:cs="Times New Roman"/>
          <w:kern w:val="0"/>
          <w:szCs w:val="21"/>
        </w:rPr>
      </w:pPr>
      <w:bookmarkStart w:id="9" w:name="_Ref475535867"/>
      <w:r w:rsidRPr="003111E8">
        <w:rPr>
          <w:rFonts w:ascii="黑体" w:hAnsi="黑体" w:cs="Times New Roman"/>
        </w:rPr>
        <w:t xml:space="preserve">图 </w:t>
      </w:r>
      <w:bookmarkEnd w:id="9"/>
      <w:r w:rsidR="00865C69" w:rsidRPr="003111E8">
        <w:rPr>
          <w:rFonts w:ascii="黑体" w:hAnsi="黑体" w:cs="Times New Roman"/>
        </w:rPr>
        <w:t>7</w:t>
      </w:r>
      <w:r w:rsidRPr="003111E8">
        <w:rPr>
          <w:rFonts w:ascii="黑体" w:hAnsi="黑体" w:cs="Times New Roman"/>
        </w:rPr>
        <w:t xml:space="preserve">. </w:t>
      </w:r>
      <w:r w:rsidRPr="003111E8">
        <w:rPr>
          <w:rFonts w:ascii="黑体" w:hAnsi="黑体" w:cs="Times New Roman"/>
          <w:kern w:val="0"/>
        </w:rPr>
        <w:t>可疑医疗器械不良事件报告</w:t>
      </w:r>
      <w:r w:rsidRPr="003111E8">
        <w:rPr>
          <w:rFonts w:ascii="黑体" w:hAnsi="黑体" w:cs="Times New Roman"/>
          <w:kern w:val="0"/>
          <w:szCs w:val="21"/>
        </w:rPr>
        <w:t>涉及</w:t>
      </w:r>
      <w:r w:rsidR="00031BE3" w:rsidRPr="003111E8">
        <w:rPr>
          <w:rFonts w:ascii="黑体" w:hAnsi="黑体" w:cs="Times New Roman"/>
          <w:kern w:val="0"/>
          <w:szCs w:val="21"/>
        </w:rPr>
        <w:t>上海企业</w:t>
      </w:r>
      <w:r w:rsidR="005962C4" w:rsidRPr="003111E8">
        <w:rPr>
          <w:rFonts w:ascii="黑体" w:hAnsi="黑体" w:cs="Times New Roman"/>
          <w:kern w:val="0"/>
          <w:szCs w:val="21"/>
        </w:rPr>
        <w:t>生产的</w:t>
      </w:r>
      <w:r w:rsidRPr="003111E8">
        <w:rPr>
          <w:rFonts w:ascii="黑体" w:hAnsi="黑体" w:cs="Times New Roman"/>
          <w:kern w:val="0"/>
          <w:szCs w:val="21"/>
        </w:rPr>
        <w:t>产品管理类别分析</w:t>
      </w:r>
    </w:p>
    <w:p w:rsidR="00C42905" w:rsidRPr="00C42905" w:rsidRDefault="00C42905" w:rsidP="00C42905"/>
    <w:p w:rsidR="006F5AA9" w:rsidRPr="004E2D6B" w:rsidRDefault="00E21818" w:rsidP="00C42905">
      <w:pPr>
        <w:widowControl/>
        <w:shd w:val="clear" w:color="auto" w:fill="FFFFFF"/>
        <w:spacing w:line="360" w:lineRule="auto"/>
        <w:ind w:firstLineChars="201" w:firstLine="424"/>
        <w:jc w:val="left"/>
        <w:outlineLvl w:val="0"/>
        <w:rPr>
          <w:rFonts w:ascii="Times New Roman" w:hAnsi="Times New Roman" w:cs="Times New Roman"/>
          <w:kern w:val="0"/>
          <w:szCs w:val="21"/>
        </w:rPr>
      </w:pPr>
      <w:r w:rsidRPr="004E2D6B">
        <w:rPr>
          <w:rFonts w:ascii="Times New Roman" w:hAnsi="Times New Roman" w:cs="Times New Roman"/>
          <w:b/>
          <w:bCs/>
          <w:kern w:val="0"/>
          <w:szCs w:val="21"/>
        </w:rPr>
        <w:t>4</w:t>
      </w:r>
      <w:r w:rsidR="006F5AA9" w:rsidRPr="004E2D6B">
        <w:rPr>
          <w:rFonts w:ascii="Times New Roman" w:hAnsi="Times New Roman" w:cs="Times New Roman"/>
          <w:b/>
          <w:bCs/>
          <w:kern w:val="0"/>
          <w:szCs w:val="21"/>
        </w:rPr>
        <w:t>.</w:t>
      </w:r>
      <w:r w:rsidR="006F5AA9" w:rsidRPr="004E2D6B">
        <w:rPr>
          <w:rFonts w:ascii="Times New Roman" w:hAnsiTheme="minorEastAsia" w:cs="Times New Roman"/>
          <w:b/>
          <w:bCs/>
          <w:kern w:val="0"/>
          <w:szCs w:val="21"/>
        </w:rPr>
        <w:t>医疗器械</w:t>
      </w:r>
      <w:r w:rsidR="00E91945" w:rsidRPr="004E2D6B">
        <w:rPr>
          <w:rFonts w:ascii="Times New Roman" w:hAnsiTheme="minorEastAsia" w:cs="Times New Roman"/>
          <w:b/>
          <w:bCs/>
          <w:kern w:val="0"/>
          <w:szCs w:val="21"/>
        </w:rPr>
        <w:t>产品分类</w:t>
      </w:r>
      <w:r w:rsidR="006F5AA9" w:rsidRPr="004E2D6B">
        <w:rPr>
          <w:rFonts w:ascii="Times New Roman" w:hAnsiTheme="minorEastAsia" w:cs="Times New Roman"/>
          <w:b/>
          <w:bCs/>
          <w:kern w:val="0"/>
          <w:szCs w:val="21"/>
        </w:rPr>
        <w:t>分析</w:t>
      </w:r>
    </w:p>
    <w:p w:rsidR="006F5AA9" w:rsidRPr="004E2D6B" w:rsidRDefault="006F5AA9" w:rsidP="00C42905">
      <w:pPr>
        <w:spacing w:line="360" w:lineRule="auto"/>
        <w:ind w:firstLineChars="201" w:firstLine="422"/>
        <w:rPr>
          <w:rFonts w:ascii="Times New Roman" w:hAnsi="Times New Roman" w:cs="Times New Roman"/>
          <w:kern w:val="0"/>
          <w:szCs w:val="21"/>
        </w:rPr>
      </w:pPr>
      <w:r w:rsidRPr="004E2D6B">
        <w:rPr>
          <w:rFonts w:ascii="Times New Roman" w:hAnsiTheme="minorEastAsia" w:cs="Times New Roman"/>
          <w:kern w:val="0"/>
          <w:szCs w:val="21"/>
        </w:rPr>
        <w:t>按现行的《医疗器械分类目录》，</w:t>
      </w:r>
      <w:r w:rsidRPr="004E2D6B">
        <w:rPr>
          <w:rFonts w:ascii="Times New Roman" w:hAnsi="Times New Roman" w:cs="Times New Roman"/>
          <w:kern w:val="0"/>
          <w:szCs w:val="21"/>
        </w:rPr>
        <w:t>201</w:t>
      </w:r>
      <w:r w:rsidR="00C46CD7" w:rsidRPr="004E2D6B">
        <w:rPr>
          <w:rFonts w:ascii="Times New Roman" w:hAnsi="Times New Roman" w:cs="Times New Roman"/>
          <w:kern w:val="0"/>
          <w:szCs w:val="21"/>
        </w:rPr>
        <w:t>7</w:t>
      </w:r>
      <w:r w:rsidRPr="004E2D6B">
        <w:rPr>
          <w:rFonts w:ascii="Times New Roman" w:hAnsiTheme="minorEastAsia" w:cs="Times New Roman"/>
          <w:kern w:val="0"/>
          <w:szCs w:val="21"/>
        </w:rPr>
        <w:t>年本市收到的</w:t>
      </w:r>
      <w:r w:rsidR="002C0D7F" w:rsidRPr="004E2D6B">
        <w:rPr>
          <w:rFonts w:ascii="Times New Roman" w:hAnsiTheme="minorEastAsia" w:cs="Times New Roman"/>
          <w:kern w:val="0"/>
        </w:rPr>
        <w:t>可疑医疗器械不良事件报告</w:t>
      </w:r>
      <w:r w:rsidRPr="004E2D6B">
        <w:rPr>
          <w:rFonts w:ascii="Times New Roman" w:hAnsiTheme="minorEastAsia" w:cs="Times New Roman"/>
          <w:kern w:val="0"/>
          <w:szCs w:val="21"/>
        </w:rPr>
        <w:t>涉及</w:t>
      </w:r>
      <w:r w:rsidR="002C0D7F" w:rsidRPr="004E2D6B">
        <w:rPr>
          <w:rFonts w:ascii="Times New Roman" w:hAnsiTheme="minorEastAsia" w:cs="Times New Roman"/>
          <w:kern w:val="0"/>
          <w:szCs w:val="21"/>
        </w:rPr>
        <w:t>了</w:t>
      </w:r>
      <w:r w:rsidRPr="004E2D6B">
        <w:rPr>
          <w:rFonts w:ascii="Times New Roman" w:hAnsi="Times New Roman" w:cs="Times New Roman"/>
          <w:kern w:val="0"/>
          <w:szCs w:val="21"/>
        </w:rPr>
        <w:t>4</w:t>
      </w:r>
      <w:r w:rsidR="00C46CD7" w:rsidRPr="004E2D6B">
        <w:rPr>
          <w:rFonts w:ascii="Times New Roman" w:hAnsi="Times New Roman" w:cs="Times New Roman"/>
          <w:kern w:val="0"/>
          <w:szCs w:val="21"/>
        </w:rPr>
        <w:t>3</w:t>
      </w:r>
      <w:r w:rsidRPr="004E2D6B">
        <w:rPr>
          <w:rFonts w:ascii="Times New Roman" w:hAnsiTheme="minorEastAsia" w:cs="Times New Roman"/>
          <w:kern w:val="0"/>
          <w:szCs w:val="21"/>
        </w:rPr>
        <w:t>类产品</w:t>
      </w:r>
      <w:r w:rsidR="002C0D7F" w:rsidRPr="004E2D6B">
        <w:rPr>
          <w:rFonts w:ascii="Times New Roman" w:hAnsiTheme="minorEastAsia" w:cs="Times New Roman"/>
          <w:kern w:val="0"/>
          <w:szCs w:val="21"/>
        </w:rPr>
        <w:t>（共</w:t>
      </w:r>
      <w:r w:rsidR="002C0D7F" w:rsidRPr="004E2D6B">
        <w:rPr>
          <w:rFonts w:ascii="Times New Roman" w:hAnsi="Times New Roman" w:cs="Times New Roman"/>
          <w:kern w:val="0"/>
          <w:szCs w:val="21"/>
        </w:rPr>
        <w:t>44</w:t>
      </w:r>
      <w:r w:rsidR="002C0D7F" w:rsidRPr="004E2D6B">
        <w:rPr>
          <w:rFonts w:ascii="Times New Roman" w:hAnsiTheme="minorEastAsia" w:cs="Times New Roman"/>
          <w:kern w:val="0"/>
          <w:szCs w:val="21"/>
        </w:rPr>
        <w:t>类，</w:t>
      </w:r>
      <w:r w:rsidR="00FE301B" w:rsidRPr="004E2D6B">
        <w:rPr>
          <w:rFonts w:ascii="Times New Roman" w:hAnsiTheme="minorEastAsia" w:cs="Times New Roman"/>
          <w:kern w:val="0"/>
          <w:szCs w:val="21"/>
        </w:rPr>
        <w:t>未</w:t>
      </w:r>
      <w:r w:rsidR="00C46CD7" w:rsidRPr="004E2D6B">
        <w:rPr>
          <w:rFonts w:ascii="Times New Roman" w:hAnsiTheme="minorEastAsia" w:cs="Times New Roman"/>
          <w:kern w:val="0"/>
          <w:szCs w:val="21"/>
        </w:rPr>
        <w:t>涉及</w:t>
      </w:r>
      <w:r w:rsidR="002C0D7F" w:rsidRPr="004E2D6B">
        <w:rPr>
          <w:rFonts w:ascii="Times New Roman" w:hAnsi="Times New Roman" w:cs="Times New Roman"/>
          <w:kern w:val="0"/>
          <w:szCs w:val="21"/>
        </w:rPr>
        <w:t>6803</w:t>
      </w:r>
      <w:r w:rsidR="002C0D7F" w:rsidRPr="004E2D6B">
        <w:rPr>
          <w:rFonts w:ascii="Times New Roman" w:hAnsiTheme="minorEastAsia" w:cs="Times New Roman"/>
          <w:kern w:val="0"/>
          <w:szCs w:val="21"/>
        </w:rPr>
        <w:t>神经外科手术器械）</w:t>
      </w:r>
      <w:r w:rsidRPr="004E2D6B">
        <w:rPr>
          <w:rFonts w:ascii="Times New Roman" w:hAnsiTheme="minorEastAsia" w:cs="Times New Roman"/>
          <w:kern w:val="0"/>
          <w:szCs w:val="21"/>
        </w:rPr>
        <w:t>。报告数量位列前十位的产品类别如表</w:t>
      </w:r>
      <w:r w:rsidR="004E2D6B" w:rsidRPr="004E2D6B">
        <w:rPr>
          <w:rFonts w:ascii="Times New Roman" w:hAnsi="Times New Roman" w:cs="Times New Roman"/>
          <w:kern w:val="0"/>
          <w:szCs w:val="21"/>
        </w:rPr>
        <w:t>1</w:t>
      </w:r>
      <w:r w:rsidRPr="004E2D6B">
        <w:rPr>
          <w:rFonts w:ascii="Times New Roman" w:hAnsiTheme="minorEastAsia" w:cs="Times New Roman"/>
          <w:kern w:val="0"/>
          <w:szCs w:val="21"/>
        </w:rPr>
        <w:t>所示。</w:t>
      </w:r>
    </w:p>
    <w:p w:rsidR="006F5AA9" w:rsidRPr="003111E8" w:rsidRDefault="006F5AA9" w:rsidP="00C42905">
      <w:pPr>
        <w:widowControl/>
        <w:shd w:val="clear" w:color="auto" w:fill="FFFFFF"/>
        <w:spacing w:line="360" w:lineRule="auto"/>
        <w:jc w:val="center"/>
        <w:rPr>
          <w:rFonts w:ascii="黑体" w:eastAsia="黑体" w:hAnsi="黑体" w:cs="Times New Roman"/>
          <w:kern w:val="0"/>
          <w:szCs w:val="21"/>
        </w:rPr>
      </w:pPr>
      <w:r w:rsidRPr="003111E8">
        <w:rPr>
          <w:rFonts w:ascii="黑体" w:eastAsia="黑体" w:hAnsi="黑体" w:cs="Times New Roman"/>
          <w:kern w:val="0"/>
          <w:szCs w:val="21"/>
        </w:rPr>
        <w:t>表</w:t>
      </w:r>
      <w:r w:rsidR="004E2D6B" w:rsidRPr="003111E8">
        <w:rPr>
          <w:rFonts w:ascii="黑体" w:eastAsia="黑体" w:hAnsi="黑体" w:cs="Times New Roman"/>
          <w:kern w:val="0"/>
          <w:szCs w:val="21"/>
        </w:rPr>
        <w:t>1</w:t>
      </w:r>
      <w:r w:rsidR="00D55BB2" w:rsidRPr="003111E8">
        <w:rPr>
          <w:rFonts w:ascii="黑体" w:eastAsia="黑体" w:hAnsi="黑体" w:cs="Times New Roman"/>
          <w:kern w:val="0"/>
          <w:szCs w:val="21"/>
        </w:rPr>
        <w:t>.</w:t>
      </w:r>
      <w:r w:rsidR="00C46CD7" w:rsidRPr="003111E8">
        <w:rPr>
          <w:rFonts w:ascii="黑体" w:eastAsia="黑体" w:hAnsi="黑体" w:cs="Times New Roman"/>
          <w:kern w:val="0"/>
          <w:szCs w:val="21"/>
        </w:rPr>
        <w:t xml:space="preserve"> </w:t>
      </w:r>
      <w:r w:rsidRPr="003111E8">
        <w:rPr>
          <w:rFonts w:ascii="黑体" w:eastAsia="黑体" w:hAnsi="黑体" w:cs="Times New Roman"/>
          <w:kern w:val="0"/>
          <w:szCs w:val="21"/>
        </w:rPr>
        <w:t>201</w:t>
      </w:r>
      <w:r w:rsidR="00C46CD7" w:rsidRPr="003111E8">
        <w:rPr>
          <w:rFonts w:ascii="黑体" w:eastAsia="黑体" w:hAnsi="黑体" w:cs="Times New Roman"/>
          <w:kern w:val="0"/>
          <w:szCs w:val="21"/>
        </w:rPr>
        <w:t>7</w:t>
      </w:r>
      <w:r w:rsidRPr="003111E8">
        <w:rPr>
          <w:rFonts w:ascii="黑体" w:eastAsia="黑体" w:hAnsi="黑体" w:cs="Times New Roman"/>
          <w:kern w:val="0"/>
          <w:szCs w:val="21"/>
        </w:rPr>
        <w:t>年上海市</w:t>
      </w:r>
      <w:r w:rsidR="002C0D7F" w:rsidRPr="003111E8">
        <w:rPr>
          <w:rFonts w:ascii="黑体" w:eastAsia="黑体" w:hAnsi="黑体" w:cs="Times New Roman"/>
          <w:kern w:val="0"/>
        </w:rPr>
        <w:t>可疑医疗器械不良事件报告</w:t>
      </w:r>
      <w:r w:rsidR="00E91945" w:rsidRPr="003111E8">
        <w:rPr>
          <w:rFonts w:ascii="黑体" w:eastAsia="黑体" w:hAnsi="黑体" w:cs="Times New Roman"/>
          <w:kern w:val="0"/>
          <w:szCs w:val="21"/>
        </w:rPr>
        <w:t>数量排名前十位的产品分类</w:t>
      </w:r>
      <w:r w:rsidRPr="003111E8">
        <w:rPr>
          <w:rFonts w:ascii="黑体" w:eastAsia="黑体" w:hAnsi="黑体" w:cs="Times New Roman"/>
          <w:kern w:val="0"/>
          <w:szCs w:val="21"/>
        </w:rPr>
        <w:t>情况</w:t>
      </w:r>
    </w:p>
    <w:tbl>
      <w:tblPr>
        <w:tblW w:w="4471" w:type="pct"/>
        <w:jc w:val="center"/>
        <w:tblCellMar>
          <w:left w:w="0" w:type="dxa"/>
          <w:right w:w="0" w:type="dxa"/>
        </w:tblCellMar>
        <w:tblLook w:val="04A0" w:firstRow="1" w:lastRow="0" w:firstColumn="1" w:lastColumn="0" w:noHBand="0" w:noVBand="1"/>
      </w:tblPr>
      <w:tblGrid>
        <w:gridCol w:w="1148"/>
        <w:gridCol w:w="4112"/>
        <w:gridCol w:w="943"/>
        <w:gridCol w:w="1417"/>
      </w:tblGrid>
      <w:tr w:rsidR="00C46CD7" w:rsidRPr="004E2D6B" w:rsidTr="00C42905">
        <w:trPr>
          <w:trHeight w:val="139"/>
          <w:jc w:val="center"/>
        </w:trPr>
        <w:tc>
          <w:tcPr>
            <w:tcW w:w="753" w:type="pct"/>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序号</w:t>
            </w:r>
          </w:p>
        </w:tc>
        <w:tc>
          <w:tcPr>
            <w:tcW w:w="2698" w:type="pct"/>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分类目录</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例数</w:t>
            </w:r>
            <w:r w:rsidRPr="004E2D6B">
              <w:rPr>
                <w:rFonts w:ascii="Times New Roman" w:hAnsi="Times New Roman" w:cs="Times New Roman"/>
                <w:kern w:val="0"/>
                <w:szCs w:val="21"/>
              </w:rPr>
              <w:t xml:space="preserve"> </w:t>
            </w:r>
          </w:p>
        </w:tc>
        <w:tc>
          <w:tcPr>
            <w:tcW w:w="930" w:type="pct"/>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构成比</w:t>
            </w:r>
            <w:r w:rsidRPr="004E2D6B">
              <w:rPr>
                <w:rFonts w:ascii="Times New Roman" w:hAnsi="Times New Roman" w:cs="Times New Roman"/>
                <w:kern w:val="0"/>
                <w:szCs w:val="21"/>
              </w:rPr>
              <w:t xml:space="preserve"> </w:t>
            </w:r>
          </w:p>
        </w:tc>
      </w:tr>
      <w:tr w:rsidR="00C46CD7" w:rsidRPr="004E2D6B" w:rsidTr="00C42905">
        <w:trPr>
          <w:trHeight w:val="348"/>
          <w:jc w:val="center"/>
        </w:trPr>
        <w:tc>
          <w:tcPr>
            <w:tcW w:w="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1</w:t>
            </w:r>
          </w:p>
        </w:tc>
        <w:tc>
          <w:tcPr>
            <w:tcW w:w="26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6866</w:t>
            </w:r>
            <w:r w:rsidRPr="004E2D6B">
              <w:rPr>
                <w:rFonts w:ascii="Times New Roman" w:hAnsiTheme="minorEastAsia" w:cs="Times New Roman"/>
                <w:kern w:val="0"/>
                <w:szCs w:val="21"/>
              </w:rPr>
              <w:t>医用高分子材料及制品</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1153 </w:t>
            </w:r>
          </w:p>
        </w:tc>
        <w:tc>
          <w:tcPr>
            <w:tcW w:w="9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15.80% </w:t>
            </w:r>
          </w:p>
        </w:tc>
      </w:tr>
      <w:tr w:rsidR="00C46CD7" w:rsidRPr="004E2D6B" w:rsidTr="000432D3">
        <w:trPr>
          <w:trHeight w:val="412"/>
          <w:jc w:val="center"/>
        </w:trPr>
        <w:tc>
          <w:tcPr>
            <w:tcW w:w="75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2</w:t>
            </w:r>
          </w:p>
        </w:tc>
        <w:tc>
          <w:tcPr>
            <w:tcW w:w="269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6846</w:t>
            </w:r>
            <w:r w:rsidRPr="004E2D6B">
              <w:rPr>
                <w:rFonts w:ascii="Times New Roman" w:hAnsiTheme="minorEastAsia" w:cs="Times New Roman"/>
                <w:kern w:val="0"/>
                <w:szCs w:val="21"/>
              </w:rPr>
              <w:t>植入材料和人工器官</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846 </w:t>
            </w:r>
          </w:p>
        </w:tc>
        <w:tc>
          <w:tcPr>
            <w:tcW w:w="93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11.60% </w:t>
            </w:r>
          </w:p>
        </w:tc>
      </w:tr>
      <w:tr w:rsidR="00C46CD7" w:rsidRPr="004E2D6B" w:rsidTr="00C42905">
        <w:trPr>
          <w:trHeight w:val="320"/>
          <w:jc w:val="center"/>
        </w:trPr>
        <w:tc>
          <w:tcPr>
            <w:tcW w:w="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3</w:t>
            </w:r>
          </w:p>
        </w:tc>
        <w:tc>
          <w:tcPr>
            <w:tcW w:w="26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6821</w:t>
            </w:r>
            <w:r w:rsidRPr="004E2D6B">
              <w:rPr>
                <w:rFonts w:ascii="Times New Roman" w:hAnsiTheme="minorEastAsia" w:cs="Times New Roman"/>
                <w:kern w:val="0"/>
                <w:szCs w:val="21"/>
              </w:rPr>
              <w:t>医用电子仪器设备</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844 </w:t>
            </w:r>
          </w:p>
        </w:tc>
        <w:tc>
          <w:tcPr>
            <w:tcW w:w="9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11.50% </w:t>
            </w:r>
          </w:p>
        </w:tc>
      </w:tr>
      <w:tr w:rsidR="00C46CD7" w:rsidRPr="004E2D6B" w:rsidTr="000432D3">
        <w:trPr>
          <w:trHeight w:val="384"/>
          <w:jc w:val="center"/>
        </w:trPr>
        <w:tc>
          <w:tcPr>
            <w:tcW w:w="75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4</w:t>
            </w:r>
          </w:p>
        </w:tc>
        <w:tc>
          <w:tcPr>
            <w:tcW w:w="269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6815</w:t>
            </w:r>
            <w:r w:rsidRPr="004E2D6B">
              <w:rPr>
                <w:rFonts w:ascii="Times New Roman" w:hAnsiTheme="minorEastAsia" w:cs="Times New Roman"/>
                <w:kern w:val="0"/>
                <w:szCs w:val="21"/>
              </w:rPr>
              <w:t>注射穿刺器械</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772 </w:t>
            </w:r>
          </w:p>
        </w:tc>
        <w:tc>
          <w:tcPr>
            <w:tcW w:w="93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10.60% </w:t>
            </w:r>
          </w:p>
        </w:tc>
      </w:tr>
      <w:tr w:rsidR="00C46CD7" w:rsidRPr="004E2D6B" w:rsidTr="00C42905">
        <w:trPr>
          <w:trHeight w:val="306"/>
          <w:jc w:val="center"/>
        </w:trPr>
        <w:tc>
          <w:tcPr>
            <w:tcW w:w="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5</w:t>
            </w:r>
          </w:p>
        </w:tc>
        <w:tc>
          <w:tcPr>
            <w:tcW w:w="26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6826</w:t>
            </w:r>
            <w:r w:rsidRPr="004E2D6B">
              <w:rPr>
                <w:rFonts w:ascii="Times New Roman" w:hAnsiTheme="minorEastAsia" w:cs="Times New Roman"/>
                <w:kern w:val="0"/>
                <w:szCs w:val="21"/>
              </w:rPr>
              <w:t>物理治疗设备</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429 </w:t>
            </w:r>
          </w:p>
        </w:tc>
        <w:tc>
          <w:tcPr>
            <w:tcW w:w="9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5.89% </w:t>
            </w:r>
          </w:p>
        </w:tc>
      </w:tr>
      <w:tr w:rsidR="00C46CD7" w:rsidRPr="004E2D6B" w:rsidTr="000432D3">
        <w:trPr>
          <w:trHeight w:val="369"/>
          <w:jc w:val="center"/>
        </w:trPr>
        <w:tc>
          <w:tcPr>
            <w:tcW w:w="75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6</w:t>
            </w:r>
          </w:p>
        </w:tc>
        <w:tc>
          <w:tcPr>
            <w:tcW w:w="269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6863</w:t>
            </w:r>
            <w:r w:rsidRPr="004E2D6B">
              <w:rPr>
                <w:rFonts w:ascii="Times New Roman" w:hAnsiTheme="minorEastAsia" w:cs="Times New Roman"/>
                <w:kern w:val="0"/>
                <w:szCs w:val="21"/>
              </w:rPr>
              <w:t>口腔科材料</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320 </w:t>
            </w:r>
          </w:p>
        </w:tc>
        <w:tc>
          <w:tcPr>
            <w:tcW w:w="93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4.39% </w:t>
            </w:r>
          </w:p>
        </w:tc>
      </w:tr>
      <w:tr w:rsidR="00C46CD7" w:rsidRPr="004E2D6B" w:rsidTr="00C42905">
        <w:trPr>
          <w:trHeight w:val="292"/>
          <w:jc w:val="center"/>
        </w:trPr>
        <w:tc>
          <w:tcPr>
            <w:tcW w:w="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7</w:t>
            </w:r>
          </w:p>
        </w:tc>
        <w:tc>
          <w:tcPr>
            <w:tcW w:w="26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6822</w:t>
            </w:r>
            <w:r w:rsidRPr="004E2D6B">
              <w:rPr>
                <w:rFonts w:ascii="Times New Roman" w:hAnsiTheme="minorEastAsia" w:cs="Times New Roman"/>
                <w:kern w:val="0"/>
                <w:szCs w:val="21"/>
              </w:rPr>
              <w:t>医用光学器具、仪器及内窥镜设备</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315 </w:t>
            </w:r>
          </w:p>
        </w:tc>
        <w:tc>
          <w:tcPr>
            <w:tcW w:w="9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4.32% </w:t>
            </w:r>
          </w:p>
        </w:tc>
      </w:tr>
      <w:tr w:rsidR="00C46CD7" w:rsidRPr="004E2D6B" w:rsidTr="000432D3">
        <w:trPr>
          <w:trHeight w:val="356"/>
          <w:jc w:val="center"/>
        </w:trPr>
        <w:tc>
          <w:tcPr>
            <w:tcW w:w="75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8</w:t>
            </w:r>
          </w:p>
        </w:tc>
        <w:tc>
          <w:tcPr>
            <w:tcW w:w="269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6864</w:t>
            </w:r>
            <w:r w:rsidRPr="004E2D6B">
              <w:rPr>
                <w:rFonts w:ascii="Times New Roman" w:hAnsiTheme="minorEastAsia" w:cs="Times New Roman"/>
                <w:kern w:val="0"/>
                <w:szCs w:val="21"/>
              </w:rPr>
              <w:t>医用卫生材料及敷料</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284 </w:t>
            </w:r>
          </w:p>
        </w:tc>
        <w:tc>
          <w:tcPr>
            <w:tcW w:w="93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3.90% </w:t>
            </w:r>
          </w:p>
        </w:tc>
      </w:tr>
      <w:tr w:rsidR="00C46CD7" w:rsidRPr="004E2D6B" w:rsidTr="00C42905">
        <w:trPr>
          <w:trHeight w:val="292"/>
          <w:jc w:val="center"/>
        </w:trPr>
        <w:tc>
          <w:tcPr>
            <w:tcW w:w="7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9</w:t>
            </w:r>
          </w:p>
        </w:tc>
        <w:tc>
          <w:tcPr>
            <w:tcW w:w="26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6840</w:t>
            </w:r>
            <w:r w:rsidRPr="004E2D6B">
              <w:rPr>
                <w:rFonts w:ascii="Times New Roman" w:hAnsiTheme="minorEastAsia" w:cs="Times New Roman"/>
                <w:kern w:val="0"/>
                <w:szCs w:val="21"/>
              </w:rPr>
              <w:t>临床检验分析仪器</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276 </w:t>
            </w:r>
          </w:p>
        </w:tc>
        <w:tc>
          <w:tcPr>
            <w:tcW w:w="93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3.79% </w:t>
            </w:r>
          </w:p>
        </w:tc>
      </w:tr>
      <w:tr w:rsidR="00C46CD7" w:rsidRPr="004E2D6B" w:rsidTr="000432D3">
        <w:trPr>
          <w:trHeight w:val="214"/>
          <w:jc w:val="center"/>
        </w:trPr>
        <w:tc>
          <w:tcPr>
            <w:tcW w:w="75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10</w:t>
            </w:r>
          </w:p>
        </w:tc>
        <w:tc>
          <w:tcPr>
            <w:tcW w:w="269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6877</w:t>
            </w:r>
            <w:r w:rsidRPr="004E2D6B">
              <w:rPr>
                <w:rFonts w:ascii="Times New Roman" w:hAnsiTheme="minorEastAsia" w:cs="Times New Roman"/>
                <w:kern w:val="0"/>
                <w:szCs w:val="21"/>
              </w:rPr>
              <w:t>介入器材</w:t>
            </w:r>
            <w:r w:rsidRPr="004E2D6B">
              <w:rPr>
                <w:rFonts w:ascii="Times New Roman" w:hAnsi="Times New Roman" w:cs="Times New Roman"/>
                <w:kern w:val="0"/>
                <w:szCs w:val="21"/>
              </w:rPr>
              <w:t xml:space="preserve"> </w:t>
            </w:r>
          </w:p>
        </w:tc>
        <w:tc>
          <w:tcPr>
            <w:tcW w:w="6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239 </w:t>
            </w:r>
          </w:p>
        </w:tc>
        <w:tc>
          <w:tcPr>
            <w:tcW w:w="93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3.28% </w:t>
            </w:r>
          </w:p>
        </w:tc>
      </w:tr>
    </w:tbl>
    <w:p w:rsidR="00C42905" w:rsidRDefault="00C42905" w:rsidP="00C42905">
      <w:pPr>
        <w:spacing w:line="360" w:lineRule="auto"/>
        <w:ind w:firstLineChars="201" w:firstLine="422"/>
        <w:rPr>
          <w:rFonts w:ascii="Times New Roman" w:hAnsiTheme="minorEastAsia" w:cs="Times New Roman"/>
          <w:kern w:val="0"/>
          <w:szCs w:val="21"/>
        </w:rPr>
      </w:pPr>
    </w:p>
    <w:p w:rsidR="00C42905" w:rsidRDefault="00C42905" w:rsidP="00C42905">
      <w:pPr>
        <w:spacing w:line="360" w:lineRule="auto"/>
        <w:ind w:firstLineChars="201" w:firstLine="422"/>
        <w:rPr>
          <w:rFonts w:ascii="Times New Roman" w:hAnsiTheme="minorEastAsia" w:cs="Times New Roman"/>
          <w:kern w:val="0"/>
          <w:szCs w:val="21"/>
        </w:rPr>
      </w:pPr>
    </w:p>
    <w:p w:rsidR="00BE7CD9" w:rsidRPr="004E2D6B" w:rsidRDefault="00BE7CD9" w:rsidP="00C42905">
      <w:pPr>
        <w:spacing w:line="360" w:lineRule="auto"/>
        <w:ind w:firstLineChars="201" w:firstLine="422"/>
        <w:rPr>
          <w:rFonts w:ascii="Times New Roman" w:hAnsi="Times New Roman" w:cs="Times New Roman"/>
          <w:kern w:val="0"/>
          <w:szCs w:val="21"/>
        </w:rPr>
      </w:pPr>
      <w:r w:rsidRPr="004E2D6B">
        <w:rPr>
          <w:rFonts w:ascii="Times New Roman" w:hAnsiTheme="minorEastAsia" w:cs="Times New Roman"/>
          <w:kern w:val="0"/>
          <w:szCs w:val="21"/>
        </w:rPr>
        <w:lastRenderedPageBreak/>
        <w:t>涉及上海生产产品的</w:t>
      </w:r>
      <w:r w:rsidRPr="004E2D6B">
        <w:rPr>
          <w:rFonts w:ascii="Times New Roman" w:hAnsi="Times New Roman" w:cs="Times New Roman"/>
          <w:kern w:val="0"/>
          <w:szCs w:val="21"/>
        </w:rPr>
        <w:t>5430</w:t>
      </w:r>
      <w:r w:rsidRPr="004E2D6B">
        <w:rPr>
          <w:rFonts w:ascii="Times New Roman" w:hAnsiTheme="minorEastAsia" w:cs="Times New Roman"/>
          <w:kern w:val="0"/>
          <w:szCs w:val="21"/>
        </w:rPr>
        <w:t>份报告中</w:t>
      </w:r>
      <w:r w:rsidR="004E2D6B" w:rsidRPr="004E2D6B">
        <w:rPr>
          <w:rFonts w:ascii="Times New Roman" w:hAnsiTheme="minorEastAsia" w:cs="Times New Roman"/>
          <w:kern w:val="0"/>
          <w:szCs w:val="21"/>
        </w:rPr>
        <w:t>，</w:t>
      </w:r>
      <w:r w:rsidRPr="004E2D6B">
        <w:rPr>
          <w:rFonts w:ascii="Times New Roman" w:hAnsiTheme="minorEastAsia" w:cs="Times New Roman"/>
          <w:kern w:val="0"/>
          <w:szCs w:val="21"/>
        </w:rPr>
        <w:t>排名前十位的产品分类如表</w:t>
      </w:r>
      <w:r w:rsidR="004E2D6B" w:rsidRPr="004E2D6B">
        <w:rPr>
          <w:rFonts w:ascii="Times New Roman" w:hAnsi="Times New Roman" w:cs="Times New Roman"/>
          <w:kern w:val="0"/>
          <w:szCs w:val="21"/>
        </w:rPr>
        <w:t>2</w:t>
      </w:r>
      <w:r w:rsidRPr="004E2D6B">
        <w:rPr>
          <w:rFonts w:ascii="Times New Roman" w:hAnsiTheme="minorEastAsia" w:cs="Times New Roman"/>
          <w:kern w:val="0"/>
          <w:szCs w:val="21"/>
        </w:rPr>
        <w:t>所示。</w:t>
      </w:r>
    </w:p>
    <w:p w:rsidR="00727228" w:rsidRPr="003111E8" w:rsidRDefault="00727228" w:rsidP="00C42905">
      <w:pPr>
        <w:widowControl/>
        <w:shd w:val="clear" w:color="auto" w:fill="FFFFFF"/>
        <w:spacing w:line="360" w:lineRule="auto"/>
        <w:jc w:val="center"/>
        <w:rPr>
          <w:rFonts w:ascii="黑体" w:eastAsia="黑体" w:hAnsi="黑体" w:cs="Times New Roman"/>
          <w:kern w:val="0"/>
          <w:szCs w:val="21"/>
        </w:rPr>
      </w:pPr>
      <w:r w:rsidRPr="003111E8">
        <w:rPr>
          <w:rFonts w:ascii="黑体" w:eastAsia="黑体" w:hAnsi="黑体" w:cs="Times New Roman"/>
          <w:kern w:val="0"/>
          <w:szCs w:val="21"/>
        </w:rPr>
        <w:t>表</w:t>
      </w:r>
      <w:r w:rsidR="004E2D6B" w:rsidRPr="003111E8">
        <w:rPr>
          <w:rFonts w:ascii="黑体" w:eastAsia="黑体" w:hAnsi="黑体" w:cs="Times New Roman"/>
          <w:kern w:val="0"/>
          <w:szCs w:val="21"/>
        </w:rPr>
        <w:t>2</w:t>
      </w:r>
      <w:r w:rsidRPr="003111E8">
        <w:rPr>
          <w:rFonts w:ascii="黑体" w:eastAsia="黑体" w:hAnsi="黑体" w:cs="Times New Roman"/>
          <w:kern w:val="0"/>
          <w:szCs w:val="21"/>
        </w:rPr>
        <w:t>. 2017年</w:t>
      </w:r>
      <w:r w:rsidRPr="003111E8">
        <w:rPr>
          <w:rFonts w:ascii="黑体" w:eastAsia="黑体" w:hAnsi="黑体" w:cs="Times New Roman"/>
          <w:kern w:val="0"/>
        </w:rPr>
        <w:t>可疑医疗器械不良事件</w:t>
      </w:r>
      <w:r w:rsidRPr="003111E8">
        <w:rPr>
          <w:rFonts w:ascii="黑体" w:eastAsia="黑体" w:hAnsi="黑体" w:cs="Times New Roman"/>
          <w:kern w:val="0"/>
          <w:szCs w:val="21"/>
        </w:rPr>
        <w:t>报告中上海生产的产品排名前十位的分类情</w:t>
      </w:r>
      <w:r w:rsidR="00FE3EFA" w:rsidRPr="003111E8">
        <w:rPr>
          <w:rFonts w:ascii="黑体" w:eastAsia="黑体" w:hAnsi="黑体" w:cs="Times New Roman"/>
          <w:kern w:val="0"/>
          <w:szCs w:val="21"/>
        </w:rPr>
        <w:t>况</w:t>
      </w:r>
    </w:p>
    <w:tbl>
      <w:tblPr>
        <w:tblW w:w="4550" w:type="pct"/>
        <w:jc w:val="center"/>
        <w:tblCellMar>
          <w:left w:w="0" w:type="dxa"/>
          <w:right w:w="0" w:type="dxa"/>
        </w:tblCellMar>
        <w:tblLook w:val="04A0" w:firstRow="1" w:lastRow="0" w:firstColumn="1" w:lastColumn="0" w:noHBand="0" w:noVBand="1"/>
      </w:tblPr>
      <w:tblGrid>
        <w:gridCol w:w="1087"/>
        <w:gridCol w:w="4169"/>
        <w:gridCol w:w="992"/>
        <w:gridCol w:w="1418"/>
      </w:tblGrid>
      <w:tr w:rsidR="00824725" w:rsidRPr="004E2D6B" w:rsidTr="003111E8">
        <w:trPr>
          <w:trHeight w:val="249"/>
          <w:jc w:val="center"/>
        </w:trPr>
        <w:tc>
          <w:tcPr>
            <w:tcW w:w="709" w:type="pct"/>
            <w:tcBorders>
              <w:top w:val="single" w:sz="8" w:space="0" w:color="000000"/>
              <w:left w:val="single" w:sz="8" w:space="0" w:color="000000"/>
              <w:bottom w:val="single" w:sz="8" w:space="0" w:color="000000"/>
              <w:right w:val="single" w:sz="8" w:space="0" w:color="000000"/>
            </w:tcBorders>
            <w:shd w:val="clear" w:color="auto" w:fill="8DC6FF"/>
            <w:vAlign w:val="center"/>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序号</w:t>
            </w:r>
          </w:p>
        </w:tc>
        <w:tc>
          <w:tcPr>
            <w:tcW w:w="2719" w:type="pct"/>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分类名称</w:t>
            </w:r>
          </w:p>
        </w:tc>
        <w:tc>
          <w:tcPr>
            <w:tcW w:w="647" w:type="pct"/>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例数</w:t>
            </w:r>
          </w:p>
        </w:tc>
        <w:tc>
          <w:tcPr>
            <w:tcW w:w="925" w:type="pct"/>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构成比</w:t>
            </w:r>
          </w:p>
        </w:tc>
      </w:tr>
      <w:tr w:rsidR="00824725" w:rsidRPr="004E2D6B" w:rsidTr="003111E8">
        <w:trPr>
          <w:trHeight w:val="171"/>
          <w:jc w:val="center"/>
        </w:trPr>
        <w:tc>
          <w:tcPr>
            <w:tcW w:w="709" w:type="pct"/>
            <w:tcBorders>
              <w:top w:val="single" w:sz="8" w:space="0" w:color="000000"/>
              <w:left w:val="single" w:sz="8" w:space="0" w:color="000000"/>
              <w:bottom w:val="single" w:sz="8" w:space="0" w:color="000000"/>
              <w:right w:val="single" w:sz="8" w:space="0" w:color="000000"/>
            </w:tcBorders>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1</w:t>
            </w:r>
          </w:p>
        </w:tc>
        <w:tc>
          <w:tcPr>
            <w:tcW w:w="27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6866</w:t>
            </w:r>
            <w:r w:rsidRPr="004E2D6B">
              <w:rPr>
                <w:rFonts w:ascii="Times New Roman" w:hAnsiTheme="minorEastAsia" w:cs="Times New Roman"/>
                <w:kern w:val="0"/>
                <w:szCs w:val="21"/>
              </w:rPr>
              <w:t>医用高分子材料及制品</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827 </w:t>
            </w:r>
          </w:p>
        </w:tc>
        <w:tc>
          <w:tcPr>
            <w:tcW w:w="9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15.21% </w:t>
            </w:r>
          </w:p>
        </w:tc>
      </w:tr>
      <w:tr w:rsidR="00824725" w:rsidRPr="004E2D6B" w:rsidTr="000432D3">
        <w:trPr>
          <w:trHeight w:val="94"/>
          <w:jc w:val="center"/>
        </w:trPr>
        <w:tc>
          <w:tcPr>
            <w:tcW w:w="70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2</w:t>
            </w:r>
          </w:p>
        </w:tc>
        <w:tc>
          <w:tcPr>
            <w:tcW w:w="27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6846</w:t>
            </w:r>
            <w:r w:rsidRPr="004E2D6B">
              <w:rPr>
                <w:rFonts w:ascii="Times New Roman" w:hAnsiTheme="minorEastAsia" w:cs="Times New Roman"/>
                <w:kern w:val="0"/>
                <w:szCs w:val="21"/>
              </w:rPr>
              <w:t>植入材料和人工器官</w:t>
            </w:r>
          </w:p>
        </w:tc>
        <w:tc>
          <w:tcPr>
            <w:tcW w:w="6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827 </w:t>
            </w:r>
          </w:p>
        </w:tc>
        <w:tc>
          <w:tcPr>
            <w:tcW w:w="92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15.21% </w:t>
            </w:r>
          </w:p>
        </w:tc>
      </w:tr>
      <w:tr w:rsidR="00824725" w:rsidRPr="004E2D6B" w:rsidTr="003111E8">
        <w:trPr>
          <w:trHeight w:val="157"/>
          <w:jc w:val="center"/>
        </w:trPr>
        <w:tc>
          <w:tcPr>
            <w:tcW w:w="709" w:type="pct"/>
            <w:tcBorders>
              <w:top w:val="single" w:sz="8" w:space="0" w:color="000000"/>
              <w:left w:val="single" w:sz="8" w:space="0" w:color="000000"/>
              <w:bottom w:val="single" w:sz="8" w:space="0" w:color="000000"/>
              <w:right w:val="single" w:sz="8" w:space="0" w:color="000000"/>
            </w:tcBorders>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3</w:t>
            </w:r>
          </w:p>
        </w:tc>
        <w:tc>
          <w:tcPr>
            <w:tcW w:w="27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6821</w:t>
            </w:r>
            <w:r w:rsidRPr="004E2D6B">
              <w:rPr>
                <w:rFonts w:ascii="Times New Roman" w:hAnsiTheme="minorEastAsia" w:cs="Times New Roman"/>
                <w:kern w:val="0"/>
                <w:szCs w:val="21"/>
              </w:rPr>
              <w:t>医用电子仪器设备</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757 </w:t>
            </w:r>
          </w:p>
        </w:tc>
        <w:tc>
          <w:tcPr>
            <w:tcW w:w="9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13.92% </w:t>
            </w:r>
          </w:p>
        </w:tc>
      </w:tr>
      <w:tr w:rsidR="00824725" w:rsidRPr="004E2D6B" w:rsidTr="000432D3">
        <w:trPr>
          <w:trHeight w:val="250"/>
          <w:jc w:val="center"/>
        </w:trPr>
        <w:tc>
          <w:tcPr>
            <w:tcW w:w="70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4</w:t>
            </w:r>
          </w:p>
        </w:tc>
        <w:tc>
          <w:tcPr>
            <w:tcW w:w="27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6815</w:t>
            </w:r>
            <w:r w:rsidRPr="004E2D6B">
              <w:rPr>
                <w:rFonts w:ascii="Times New Roman" w:hAnsiTheme="minorEastAsia" w:cs="Times New Roman"/>
                <w:kern w:val="0"/>
                <w:szCs w:val="21"/>
              </w:rPr>
              <w:t>注射穿刺器械</w:t>
            </w:r>
          </w:p>
        </w:tc>
        <w:tc>
          <w:tcPr>
            <w:tcW w:w="6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551 </w:t>
            </w:r>
          </w:p>
        </w:tc>
        <w:tc>
          <w:tcPr>
            <w:tcW w:w="92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10.13% </w:t>
            </w:r>
          </w:p>
        </w:tc>
      </w:tr>
      <w:tr w:rsidR="00824725" w:rsidRPr="004E2D6B" w:rsidTr="003111E8">
        <w:trPr>
          <w:trHeight w:val="45"/>
          <w:jc w:val="center"/>
        </w:trPr>
        <w:tc>
          <w:tcPr>
            <w:tcW w:w="709" w:type="pct"/>
            <w:tcBorders>
              <w:top w:val="single" w:sz="8" w:space="0" w:color="000000"/>
              <w:left w:val="single" w:sz="8" w:space="0" w:color="000000"/>
              <w:bottom w:val="single" w:sz="8" w:space="0" w:color="000000"/>
              <w:right w:val="single" w:sz="8" w:space="0" w:color="000000"/>
            </w:tcBorders>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5</w:t>
            </w:r>
          </w:p>
        </w:tc>
        <w:tc>
          <w:tcPr>
            <w:tcW w:w="27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6863</w:t>
            </w:r>
            <w:r w:rsidRPr="004E2D6B">
              <w:rPr>
                <w:rFonts w:ascii="Times New Roman" w:hAnsiTheme="minorEastAsia" w:cs="Times New Roman"/>
                <w:kern w:val="0"/>
                <w:szCs w:val="21"/>
              </w:rPr>
              <w:t>口腔科材料</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315 </w:t>
            </w:r>
          </w:p>
        </w:tc>
        <w:tc>
          <w:tcPr>
            <w:tcW w:w="9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5.79% </w:t>
            </w:r>
          </w:p>
        </w:tc>
      </w:tr>
      <w:tr w:rsidR="00824725" w:rsidRPr="004E2D6B" w:rsidTr="000432D3">
        <w:trPr>
          <w:trHeight w:val="226"/>
          <w:jc w:val="center"/>
        </w:trPr>
        <w:tc>
          <w:tcPr>
            <w:tcW w:w="70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6</w:t>
            </w:r>
          </w:p>
        </w:tc>
        <w:tc>
          <w:tcPr>
            <w:tcW w:w="27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6877</w:t>
            </w:r>
            <w:r w:rsidRPr="004E2D6B">
              <w:rPr>
                <w:rFonts w:ascii="Times New Roman" w:hAnsiTheme="minorEastAsia" w:cs="Times New Roman"/>
                <w:kern w:val="0"/>
                <w:szCs w:val="21"/>
              </w:rPr>
              <w:t>介入器材</w:t>
            </w:r>
          </w:p>
        </w:tc>
        <w:tc>
          <w:tcPr>
            <w:tcW w:w="6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236 </w:t>
            </w:r>
          </w:p>
        </w:tc>
        <w:tc>
          <w:tcPr>
            <w:tcW w:w="92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4.34% </w:t>
            </w:r>
          </w:p>
        </w:tc>
      </w:tr>
      <w:tr w:rsidR="00824725" w:rsidRPr="004E2D6B" w:rsidTr="003111E8">
        <w:trPr>
          <w:trHeight w:val="45"/>
          <w:jc w:val="center"/>
        </w:trPr>
        <w:tc>
          <w:tcPr>
            <w:tcW w:w="709" w:type="pct"/>
            <w:tcBorders>
              <w:top w:val="single" w:sz="8" w:space="0" w:color="000000"/>
              <w:left w:val="single" w:sz="8" w:space="0" w:color="000000"/>
              <w:bottom w:val="single" w:sz="8" w:space="0" w:color="000000"/>
              <w:right w:val="single" w:sz="8" w:space="0" w:color="000000"/>
            </w:tcBorders>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7</w:t>
            </w:r>
          </w:p>
        </w:tc>
        <w:tc>
          <w:tcPr>
            <w:tcW w:w="27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6822</w:t>
            </w:r>
            <w:r w:rsidRPr="004E2D6B">
              <w:rPr>
                <w:rFonts w:ascii="Times New Roman" w:hAnsiTheme="minorEastAsia" w:cs="Times New Roman"/>
                <w:kern w:val="0"/>
                <w:szCs w:val="21"/>
              </w:rPr>
              <w:t>医用光学器具、仪器及内窥镜设备</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234 </w:t>
            </w:r>
          </w:p>
        </w:tc>
        <w:tc>
          <w:tcPr>
            <w:tcW w:w="9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4.3% </w:t>
            </w:r>
          </w:p>
        </w:tc>
      </w:tr>
      <w:tr w:rsidR="00824725" w:rsidRPr="004E2D6B" w:rsidTr="000432D3">
        <w:trPr>
          <w:trHeight w:val="160"/>
          <w:jc w:val="center"/>
        </w:trPr>
        <w:tc>
          <w:tcPr>
            <w:tcW w:w="70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8</w:t>
            </w:r>
          </w:p>
        </w:tc>
        <w:tc>
          <w:tcPr>
            <w:tcW w:w="27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6840</w:t>
            </w:r>
            <w:r w:rsidRPr="004E2D6B">
              <w:rPr>
                <w:rFonts w:ascii="Times New Roman" w:hAnsiTheme="minorEastAsia" w:cs="Times New Roman"/>
                <w:kern w:val="0"/>
                <w:szCs w:val="21"/>
              </w:rPr>
              <w:t>临床检验分析仪器</w:t>
            </w:r>
          </w:p>
        </w:tc>
        <w:tc>
          <w:tcPr>
            <w:tcW w:w="6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221 </w:t>
            </w:r>
          </w:p>
        </w:tc>
        <w:tc>
          <w:tcPr>
            <w:tcW w:w="92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4.06% </w:t>
            </w:r>
          </w:p>
        </w:tc>
      </w:tr>
      <w:tr w:rsidR="00824725" w:rsidRPr="004E2D6B" w:rsidTr="003111E8">
        <w:trPr>
          <w:trHeight w:val="580"/>
          <w:jc w:val="center"/>
        </w:trPr>
        <w:tc>
          <w:tcPr>
            <w:tcW w:w="709" w:type="pct"/>
            <w:tcBorders>
              <w:top w:val="single" w:sz="8" w:space="0" w:color="000000"/>
              <w:left w:val="single" w:sz="8" w:space="0" w:color="000000"/>
              <w:bottom w:val="single" w:sz="8" w:space="0" w:color="000000"/>
              <w:right w:val="single" w:sz="8" w:space="0" w:color="000000"/>
            </w:tcBorders>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9</w:t>
            </w:r>
          </w:p>
        </w:tc>
        <w:tc>
          <w:tcPr>
            <w:tcW w:w="271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6865</w:t>
            </w:r>
            <w:r w:rsidRPr="004E2D6B">
              <w:rPr>
                <w:rFonts w:ascii="Times New Roman" w:hAnsiTheme="minorEastAsia" w:cs="Times New Roman"/>
                <w:kern w:val="0"/>
                <w:szCs w:val="21"/>
              </w:rPr>
              <w:t>医用缝合材料及粘合剂</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200 </w:t>
            </w:r>
          </w:p>
        </w:tc>
        <w:tc>
          <w:tcPr>
            <w:tcW w:w="9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3.68% </w:t>
            </w:r>
          </w:p>
        </w:tc>
      </w:tr>
      <w:tr w:rsidR="00824725" w:rsidRPr="004E2D6B" w:rsidTr="000432D3">
        <w:trPr>
          <w:trHeight w:val="45"/>
          <w:jc w:val="center"/>
        </w:trPr>
        <w:tc>
          <w:tcPr>
            <w:tcW w:w="70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10</w:t>
            </w:r>
          </w:p>
        </w:tc>
        <w:tc>
          <w:tcPr>
            <w:tcW w:w="271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6854</w:t>
            </w:r>
            <w:r w:rsidRPr="004E2D6B">
              <w:rPr>
                <w:rFonts w:ascii="Times New Roman" w:hAnsiTheme="minorEastAsia" w:cs="Times New Roman"/>
                <w:kern w:val="0"/>
                <w:szCs w:val="21"/>
              </w:rPr>
              <w:t>手术室、急救室、诊疗室设备及器具</w:t>
            </w:r>
          </w:p>
        </w:tc>
        <w:tc>
          <w:tcPr>
            <w:tcW w:w="6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173 </w:t>
            </w:r>
          </w:p>
        </w:tc>
        <w:tc>
          <w:tcPr>
            <w:tcW w:w="92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C46CD7" w:rsidRPr="004E2D6B" w:rsidRDefault="00C46CD7"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3.18% </w:t>
            </w:r>
          </w:p>
        </w:tc>
      </w:tr>
    </w:tbl>
    <w:p w:rsidR="00727228" w:rsidRPr="004E2D6B" w:rsidRDefault="00727228" w:rsidP="00C42905">
      <w:pPr>
        <w:widowControl/>
        <w:shd w:val="clear" w:color="auto" w:fill="FFFFFF"/>
        <w:tabs>
          <w:tab w:val="left" w:pos="7140"/>
        </w:tabs>
        <w:spacing w:line="360" w:lineRule="auto"/>
        <w:ind w:firstLineChars="202" w:firstLine="424"/>
        <w:jc w:val="left"/>
        <w:rPr>
          <w:rFonts w:ascii="Times New Roman" w:hAnsi="Times New Roman" w:cs="Times New Roman"/>
          <w:bCs/>
          <w:kern w:val="0"/>
          <w:szCs w:val="21"/>
        </w:rPr>
      </w:pPr>
      <w:r w:rsidRPr="004E2D6B">
        <w:rPr>
          <w:rFonts w:ascii="Times New Roman" w:hAnsiTheme="minorEastAsia" w:cs="Times New Roman"/>
          <w:bCs/>
          <w:kern w:val="0"/>
          <w:szCs w:val="21"/>
        </w:rPr>
        <w:t>上海审批的二类产品情况</w:t>
      </w:r>
      <w:r w:rsidRPr="004E2D6B">
        <w:rPr>
          <w:rFonts w:ascii="Times New Roman" w:hAnsi="Times New Roman" w:cs="Times New Roman"/>
          <w:bCs/>
          <w:kern w:val="0"/>
          <w:szCs w:val="21"/>
        </w:rPr>
        <w:t>682</w:t>
      </w:r>
      <w:r w:rsidRPr="004E2D6B">
        <w:rPr>
          <w:rFonts w:ascii="Times New Roman" w:hAnsiTheme="minorEastAsia" w:cs="Times New Roman"/>
          <w:bCs/>
          <w:kern w:val="0"/>
          <w:szCs w:val="21"/>
        </w:rPr>
        <w:t>例</w:t>
      </w:r>
      <w:r w:rsidR="004E2D6B" w:rsidRPr="004E2D6B">
        <w:rPr>
          <w:rFonts w:ascii="Times New Roman" w:hAnsiTheme="minorEastAsia" w:cs="Times New Roman"/>
          <w:bCs/>
          <w:kern w:val="0"/>
          <w:szCs w:val="21"/>
        </w:rPr>
        <w:t>，</w:t>
      </w:r>
      <w:r w:rsidRPr="004E2D6B">
        <w:rPr>
          <w:rFonts w:ascii="Times New Roman" w:hAnsiTheme="minorEastAsia" w:cs="Times New Roman"/>
          <w:bCs/>
          <w:kern w:val="0"/>
          <w:szCs w:val="21"/>
        </w:rPr>
        <w:t>占全部报告的</w:t>
      </w:r>
      <w:r w:rsidRPr="004E2D6B">
        <w:rPr>
          <w:rFonts w:ascii="Times New Roman" w:hAnsi="Times New Roman" w:cs="Times New Roman"/>
          <w:bCs/>
          <w:kern w:val="0"/>
          <w:szCs w:val="21"/>
        </w:rPr>
        <w:t>9.37%</w:t>
      </w:r>
      <w:r w:rsidR="000432D3">
        <w:rPr>
          <w:rFonts w:ascii="Times New Roman" w:hAnsi="Times New Roman" w:cs="Times New Roman"/>
          <w:bCs/>
          <w:kern w:val="0"/>
          <w:szCs w:val="21"/>
        </w:rPr>
        <w:t>，</w:t>
      </w:r>
      <w:r w:rsidR="00BE7CD9" w:rsidRPr="004E2D6B">
        <w:rPr>
          <w:rFonts w:ascii="Times New Roman" w:hAnsiTheme="minorEastAsia" w:cs="Times New Roman"/>
          <w:bCs/>
          <w:kern w:val="0"/>
          <w:szCs w:val="21"/>
        </w:rPr>
        <w:t>排名前十位的产品如表</w:t>
      </w:r>
      <w:r w:rsidR="004E2D6B" w:rsidRPr="004E2D6B">
        <w:rPr>
          <w:rFonts w:ascii="Times New Roman" w:hAnsi="Times New Roman" w:cs="Times New Roman"/>
          <w:bCs/>
          <w:kern w:val="0"/>
          <w:szCs w:val="21"/>
        </w:rPr>
        <w:t>3</w:t>
      </w:r>
      <w:r w:rsidR="00BE7CD9" w:rsidRPr="004E2D6B">
        <w:rPr>
          <w:rFonts w:ascii="Times New Roman" w:hAnsiTheme="minorEastAsia" w:cs="Times New Roman"/>
          <w:bCs/>
          <w:kern w:val="0"/>
          <w:szCs w:val="21"/>
        </w:rPr>
        <w:t>所示。</w:t>
      </w:r>
    </w:p>
    <w:p w:rsidR="00727228" w:rsidRPr="003111E8" w:rsidRDefault="00727228" w:rsidP="003111E8">
      <w:pPr>
        <w:widowControl/>
        <w:shd w:val="clear" w:color="auto" w:fill="FFFFFF"/>
        <w:tabs>
          <w:tab w:val="left" w:pos="7140"/>
        </w:tabs>
        <w:spacing w:line="360" w:lineRule="auto"/>
        <w:jc w:val="center"/>
        <w:rPr>
          <w:rFonts w:ascii="黑体" w:eastAsia="黑体" w:hAnsi="黑体" w:cs="Times New Roman"/>
          <w:b/>
          <w:bCs/>
          <w:kern w:val="0"/>
          <w:szCs w:val="21"/>
        </w:rPr>
      </w:pPr>
      <w:r w:rsidRPr="003111E8">
        <w:rPr>
          <w:rFonts w:ascii="黑体" w:eastAsia="黑体" w:hAnsi="黑体" w:cs="Times New Roman"/>
          <w:kern w:val="0"/>
          <w:szCs w:val="21"/>
        </w:rPr>
        <w:t>表</w:t>
      </w:r>
      <w:r w:rsidR="004E2D6B" w:rsidRPr="003111E8">
        <w:rPr>
          <w:rFonts w:ascii="黑体" w:eastAsia="黑体" w:hAnsi="黑体" w:cs="Times New Roman"/>
          <w:kern w:val="0"/>
          <w:szCs w:val="21"/>
        </w:rPr>
        <w:t>3</w:t>
      </w:r>
      <w:r w:rsidR="000432D3">
        <w:rPr>
          <w:rFonts w:ascii="黑体" w:eastAsia="黑体" w:hAnsi="黑体" w:cs="Times New Roman" w:hint="eastAsia"/>
          <w:kern w:val="0"/>
          <w:szCs w:val="21"/>
        </w:rPr>
        <w:t>.</w:t>
      </w:r>
      <w:r w:rsidR="000432D3">
        <w:rPr>
          <w:rFonts w:ascii="黑体" w:eastAsia="黑体" w:hAnsi="黑体" w:cs="Times New Roman"/>
          <w:kern w:val="0"/>
          <w:szCs w:val="21"/>
        </w:rPr>
        <w:t xml:space="preserve"> </w:t>
      </w:r>
      <w:r w:rsidRPr="003111E8">
        <w:rPr>
          <w:rFonts w:ascii="黑体" w:eastAsia="黑体" w:hAnsi="黑体" w:cs="Times New Roman"/>
          <w:kern w:val="0"/>
          <w:szCs w:val="21"/>
        </w:rPr>
        <w:t>2017年</w:t>
      </w:r>
      <w:r w:rsidRPr="003111E8">
        <w:rPr>
          <w:rFonts w:ascii="黑体" w:eastAsia="黑体" w:hAnsi="黑体" w:cs="Times New Roman"/>
          <w:kern w:val="0"/>
        </w:rPr>
        <w:t>可疑医疗器械不良事件</w:t>
      </w:r>
      <w:r w:rsidRPr="003111E8">
        <w:rPr>
          <w:rFonts w:ascii="黑体" w:eastAsia="黑体" w:hAnsi="黑体" w:cs="Times New Roman"/>
          <w:kern w:val="0"/>
          <w:szCs w:val="21"/>
        </w:rPr>
        <w:t>报告中</w:t>
      </w:r>
      <w:r w:rsidRPr="003111E8">
        <w:rPr>
          <w:rFonts w:ascii="黑体" w:eastAsia="黑体" w:hAnsi="黑体" w:cs="Times New Roman"/>
          <w:kern w:val="0"/>
        </w:rPr>
        <w:t>上海审批的二类产品分类情况</w:t>
      </w:r>
    </w:p>
    <w:tbl>
      <w:tblPr>
        <w:tblW w:w="7683" w:type="dxa"/>
        <w:jc w:val="center"/>
        <w:tblCellMar>
          <w:left w:w="0" w:type="dxa"/>
          <w:right w:w="0" w:type="dxa"/>
        </w:tblCellMar>
        <w:tblLook w:val="04A0" w:firstRow="1" w:lastRow="0" w:firstColumn="1" w:lastColumn="0" w:noHBand="0" w:noVBand="1"/>
      </w:tblPr>
      <w:tblGrid>
        <w:gridCol w:w="1101"/>
        <w:gridCol w:w="4012"/>
        <w:gridCol w:w="993"/>
        <w:gridCol w:w="1577"/>
      </w:tblGrid>
      <w:tr w:rsidR="00824725" w:rsidRPr="004E2D6B" w:rsidTr="003111E8">
        <w:trPr>
          <w:trHeight w:val="279"/>
          <w:jc w:val="center"/>
        </w:trPr>
        <w:tc>
          <w:tcPr>
            <w:tcW w:w="1101" w:type="dxa"/>
            <w:tcBorders>
              <w:top w:val="single" w:sz="8" w:space="0" w:color="000000"/>
              <w:left w:val="single" w:sz="8" w:space="0" w:color="000000"/>
              <w:bottom w:val="single" w:sz="8" w:space="0" w:color="000000"/>
              <w:right w:val="single" w:sz="8" w:space="0" w:color="000000"/>
            </w:tcBorders>
            <w:shd w:val="clear" w:color="auto" w:fill="8DC6FF"/>
            <w:vAlign w:val="center"/>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序号</w:t>
            </w:r>
          </w:p>
        </w:tc>
        <w:tc>
          <w:tcPr>
            <w:tcW w:w="4012" w:type="dxa"/>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分类名称</w:t>
            </w:r>
          </w:p>
        </w:tc>
        <w:tc>
          <w:tcPr>
            <w:tcW w:w="993" w:type="dxa"/>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例数</w:t>
            </w:r>
          </w:p>
        </w:tc>
        <w:tc>
          <w:tcPr>
            <w:tcW w:w="1577" w:type="dxa"/>
            <w:tcBorders>
              <w:top w:val="single" w:sz="8" w:space="0" w:color="000000"/>
              <w:left w:val="single" w:sz="8" w:space="0" w:color="000000"/>
              <w:bottom w:val="single" w:sz="8" w:space="0" w:color="000000"/>
              <w:right w:val="single" w:sz="8" w:space="0" w:color="000000"/>
            </w:tcBorders>
            <w:shd w:val="clear" w:color="auto" w:fill="8DC6F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构成比</w:t>
            </w:r>
          </w:p>
        </w:tc>
      </w:tr>
      <w:tr w:rsidR="00824725" w:rsidRPr="004E2D6B" w:rsidTr="003111E8">
        <w:trPr>
          <w:trHeight w:val="81"/>
          <w:jc w:val="center"/>
        </w:trPr>
        <w:tc>
          <w:tcPr>
            <w:tcW w:w="1101" w:type="dxa"/>
            <w:tcBorders>
              <w:top w:val="single" w:sz="8" w:space="0" w:color="000000"/>
              <w:left w:val="single" w:sz="8" w:space="0" w:color="000000"/>
              <w:bottom w:val="single" w:sz="8" w:space="0" w:color="000000"/>
              <w:right w:val="single" w:sz="8" w:space="0" w:color="000000"/>
            </w:tcBorders>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1</w:t>
            </w:r>
          </w:p>
        </w:tc>
        <w:tc>
          <w:tcPr>
            <w:tcW w:w="4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6863</w:t>
            </w:r>
            <w:r w:rsidRPr="004E2D6B">
              <w:rPr>
                <w:rFonts w:ascii="Times New Roman" w:hAnsiTheme="minorEastAsia" w:cs="Times New Roman"/>
                <w:kern w:val="0"/>
                <w:szCs w:val="21"/>
              </w:rPr>
              <w:t>口腔科材料</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152 </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22.28% </w:t>
            </w:r>
          </w:p>
        </w:tc>
      </w:tr>
      <w:tr w:rsidR="00824725" w:rsidRPr="004E2D6B" w:rsidTr="000432D3">
        <w:trPr>
          <w:trHeight w:val="45"/>
          <w:jc w:val="center"/>
        </w:trPr>
        <w:tc>
          <w:tcPr>
            <w:tcW w:w="11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2</w:t>
            </w:r>
          </w:p>
        </w:tc>
        <w:tc>
          <w:tcPr>
            <w:tcW w:w="40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6821</w:t>
            </w:r>
            <w:r w:rsidRPr="004E2D6B">
              <w:rPr>
                <w:rFonts w:ascii="Times New Roman" w:hAnsiTheme="minorEastAsia" w:cs="Times New Roman"/>
                <w:kern w:val="0"/>
                <w:szCs w:val="21"/>
              </w:rPr>
              <w:t>医用电子仪器设备</w:t>
            </w:r>
          </w:p>
        </w:tc>
        <w:tc>
          <w:tcPr>
            <w:tcW w:w="9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119 </w:t>
            </w:r>
          </w:p>
        </w:tc>
        <w:tc>
          <w:tcPr>
            <w:tcW w:w="15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17.45% </w:t>
            </w:r>
          </w:p>
        </w:tc>
      </w:tr>
      <w:tr w:rsidR="00824725" w:rsidRPr="004E2D6B" w:rsidTr="003111E8">
        <w:trPr>
          <w:trHeight w:val="45"/>
          <w:jc w:val="center"/>
        </w:trPr>
        <w:tc>
          <w:tcPr>
            <w:tcW w:w="1101" w:type="dxa"/>
            <w:tcBorders>
              <w:top w:val="single" w:sz="8" w:space="0" w:color="000000"/>
              <w:left w:val="single" w:sz="8" w:space="0" w:color="000000"/>
              <w:bottom w:val="single" w:sz="8" w:space="0" w:color="000000"/>
              <w:right w:val="single" w:sz="8" w:space="0" w:color="000000"/>
            </w:tcBorders>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3</w:t>
            </w:r>
          </w:p>
        </w:tc>
        <w:tc>
          <w:tcPr>
            <w:tcW w:w="4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6856</w:t>
            </w:r>
            <w:r w:rsidRPr="004E2D6B">
              <w:rPr>
                <w:rFonts w:ascii="Times New Roman" w:hAnsiTheme="minorEastAsia" w:cs="Times New Roman"/>
                <w:kern w:val="0"/>
                <w:szCs w:val="21"/>
              </w:rPr>
              <w:t>病房护理设备及器具</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64 </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9.38% </w:t>
            </w:r>
          </w:p>
        </w:tc>
      </w:tr>
      <w:tr w:rsidR="00824725" w:rsidRPr="004E2D6B" w:rsidTr="000432D3">
        <w:trPr>
          <w:trHeight w:val="144"/>
          <w:jc w:val="center"/>
        </w:trPr>
        <w:tc>
          <w:tcPr>
            <w:tcW w:w="11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4</w:t>
            </w:r>
          </w:p>
        </w:tc>
        <w:tc>
          <w:tcPr>
            <w:tcW w:w="40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6854</w:t>
            </w:r>
            <w:r w:rsidRPr="004E2D6B">
              <w:rPr>
                <w:rFonts w:ascii="Times New Roman" w:hAnsiTheme="minorEastAsia" w:cs="Times New Roman"/>
                <w:kern w:val="0"/>
                <w:szCs w:val="21"/>
              </w:rPr>
              <w:t>手术室、急救室、诊疗室设备及器具</w:t>
            </w:r>
          </w:p>
        </w:tc>
        <w:tc>
          <w:tcPr>
            <w:tcW w:w="9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48 </w:t>
            </w:r>
          </w:p>
        </w:tc>
        <w:tc>
          <w:tcPr>
            <w:tcW w:w="15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7.04% </w:t>
            </w:r>
          </w:p>
        </w:tc>
      </w:tr>
      <w:tr w:rsidR="00824725" w:rsidRPr="004E2D6B" w:rsidTr="003111E8">
        <w:trPr>
          <w:trHeight w:val="52"/>
          <w:jc w:val="center"/>
        </w:trPr>
        <w:tc>
          <w:tcPr>
            <w:tcW w:w="1101" w:type="dxa"/>
            <w:tcBorders>
              <w:top w:val="single" w:sz="8" w:space="0" w:color="000000"/>
              <w:left w:val="single" w:sz="8" w:space="0" w:color="000000"/>
              <w:bottom w:val="single" w:sz="8" w:space="0" w:color="000000"/>
              <w:right w:val="single" w:sz="8" w:space="0" w:color="000000"/>
            </w:tcBorders>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5</w:t>
            </w:r>
          </w:p>
        </w:tc>
        <w:tc>
          <w:tcPr>
            <w:tcW w:w="4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6820</w:t>
            </w:r>
            <w:r w:rsidRPr="004E2D6B">
              <w:rPr>
                <w:rFonts w:ascii="Times New Roman" w:hAnsiTheme="minorEastAsia" w:cs="Times New Roman"/>
                <w:kern w:val="0"/>
                <w:szCs w:val="21"/>
              </w:rPr>
              <w:t>普通诊察器械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46 </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6.74% </w:t>
            </w:r>
          </w:p>
        </w:tc>
      </w:tr>
      <w:tr w:rsidR="00824725" w:rsidRPr="004E2D6B" w:rsidTr="000432D3">
        <w:trPr>
          <w:trHeight w:val="45"/>
          <w:jc w:val="center"/>
        </w:trPr>
        <w:tc>
          <w:tcPr>
            <w:tcW w:w="11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6</w:t>
            </w:r>
          </w:p>
        </w:tc>
        <w:tc>
          <w:tcPr>
            <w:tcW w:w="40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6866</w:t>
            </w:r>
            <w:r w:rsidRPr="004E2D6B">
              <w:rPr>
                <w:rFonts w:ascii="Times New Roman" w:hAnsiTheme="minorEastAsia" w:cs="Times New Roman"/>
                <w:kern w:val="0"/>
                <w:szCs w:val="21"/>
              </w:rPr>
              <w:t>医用高分子材料及制品</w:t>
            </w:r>
          </w:p>
        </w:tc>
        <w:tc>
          <w:tcPr>
            <w:tcW w:w="9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38 </w:t>
            </w:r>
          </w:p>
        </w:tc>
        <w:tc>
          <w:tcPr>
            <w:tcW w:w="15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5.57% </w:t>
            </w:r>
          </w:p>
        </w:tc>
      </w:tr>
      <w:tr w:rsidR="00824725" w:rsidRPr="004E2D6B" w:rsidTr="003111E8">
        <w:trPr>
          <w:trHeight w:val="45"/>
          <w:jc w:val="center"/>
        </w:trPr>
        <w:tc>
          <w:tcPr>
            <w:tcW w:w="1101" w:type="dxa"/>
            <w:tcBorders>
              <w:top w:val="single" w:sz="8" w:space="0" w:color="000000"/>
              <w:left w:val="single" w:sz="8" w:space="0" w:color="000000"/>
              <w:bottom w:val="single" w:sz="8" w:space="0" w:color="000000"/>
              <w:right w:val="single" w:sz="8" w:space="0" w:color="000000"/>
            </w:tcBorders>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7</w:t>
            </w:r>
          </w:p>
        </w:tc>
        <w:tc>
          <w:tcPr>
            <w:tcW w:w="4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6815</w:t>
            </w:r>
            <w:r w:rsidRPr="004E2D6B">
              <w:rPr>
                <w:rFonts w:ascii="Times New Roman" w:hAnsiTheme="minorEastAsia" w:cs="Times New Roman"/>
                <w:kern w:val="0"/>
                <w:szCs w:val="21"/>
              </w:rPr>
              <w:t>注射穿刺器械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36 </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5.28% </w:t>
            </w:r>
          </w:p>
        </w:tc>
      </w:tr>
      <w:tr w:rsidR="00824725" w:rsidRPr="004E2D6B" w:rsidTr="000432D3">
        <w:trPr>
          <w:trHeight w:val="45"/>
          <w:jc w:val="center"/>
        </w:trPr>
        <w:tc>
          <w:tcPr>
            <w:tcW w:w="11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8</w:t>
            </w:r>
          </w:p>
        </w:tc>
        <w:tc>
          <w:tcPr>
            <w:tcW w:w="40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6840</w:t>
            </w:r>
            <w:r w:rsidRPr="004E2D6B">
              <w:rPr>
                <w:rFonts w:ascii="Times New Roman" w:hAnsiTheme="minorEastAsia" w:cs="Times New Roman"/>
                <w:kern w:val="0"/>
                <w:szCs w:val="21"/>
              </w:rPr>
              <w:t>临床检验分析仪器</w:t>
            </w:r>
          </w:p>
        </w:tc>
        <w:tc>
          <w:tcPr>
            <w:tcW w:w="9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35 </w:t>
            </w:r>
          </w:p>
        </w:tc>
        <w:tc>
          <w:tcPr>
            <w:tcW w:w="15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5.13% </w:t>
            </w:r>
          </w:p>
        </w:tc>
      </w:tr>
      <w:tr w:rsidR="00824725" w:rsidRPr="004E2D6B" w:rsidTr="003111E8">
        <w:trPr>
          <w:trHeight w:val="45"/>
          <w:jc w:val="center"/>
        </w:trPr>
        <w:tc>
          <w:tcPr>
            <w:tcW w:w="1101" w:type="dxa"/>
            <w:tcBorders>
              <w:top w:val="single" w:sz="8" w:space="0" w:color="000000"/>
              <w:left w:val="single" w:sz="8" w:space="0" w:color="000000"/>
              <w:bottom w:val="single" w:sz="8" w:space="0" w:color="000000"/>
              <w:right w:val="single" w:sz="8" w:space="0" w:color="000000"/>
            </w:tcBorders>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9</w:t>
            </w:r>
          </w:p>
        </w:tc>
        <w:tc>
          <w:tcPr>
            <w:tcW w:w="40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6830</w:t>
            </w:r>
            <w:r w:rsidRPr="004E2D6B">
              <w:rPr>
                <w:rFonts w:ascii="Times New Roman" w:hAnsiTheme="minorEastAsia" w:cs="Times New Roman"/>
                <w:kern w:val="0"/>
                <w:szCs w:val="21"/>
              </w:rPr>
              <w:t>医用</w:t>
            </w:r>
            <w:r w:rsidRPr="004E2D6B">
              <w:rPr>
                <w:rFonts w:ascii="Times New Roman" w:hAnsi="Times New Roman" w:cs="Times New Roman"/>
                <w:kern w:val="0"/>
                <w:szCs w:val="21"/>
              </w:rPr>
              <w:t>X</w:t>
            </w:r>
            <w:r w:rsidRPr="004E2D6B">
              <w:rPr>
                <w:rFonts w:ascii="Times New Roman" w:hAnsiTheme="minorEastAsia" w:cs="Times New Roman"/>
                <w:kern w:val="0"/>
                <w:szCs w:val="21"/>
              </w:rPr>
              <w:t>射线设备</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30 </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4.4% </w:t>
            </w:r>
          </w:p>
        </w:tc>
      </w:tr>
      <w:tr w:rsidR="00824725" w:rsidRPr="004E2D6B" w:rsidTr="000432D3">
        <w:trPr>
          <w:trHeight w:val="482"/>
          <w:jc w:val="center"/>
        </w:trPr>
        <w:tc>
          <w:tcPr>
            <w:tcW w:w="11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6CD7"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10</w:t>
            </w:r>
          </w:p>
        </w:tc>
        <w:tc>
          <w:tcPr>
            <w:tcW w:w="40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left"/>
              <w:rPr>
                <w:rFonts w:ascii="Times New Roman" w:hAnsi="Times New Roman" w:cs="Times New Roman"/>
                <w:kern w:val="0"/>
                <w:szCs w:val="21"/>
              </w:rPr>
            </w:pPr>
            <w:r w:rsidRPr="004E2D6B">
              <w:rPr>
                <w:rFonts w:ascii="Times New Roman" w:hAnsi="Times New Roman" w:cs="Times New Roman"/>
                <w:kern w:val="0"/>
                <w:szCs w:val="21"/>
              </w:rPr>
              <w:t>6826</w:t>
            </w:r>
            <w:r w:rsidRPr="004E2D6B">
              <w:rPr>
                <w:rFonts w:ascii="Times New Roman" w:hAnsiTheme="minorEastAsia" w:cs="Times New Roman"/>
                <w:kern w:val="0"/>
                <w:szCs w:val="21"/>
              </w:rPr>
              <w:t>物理治疗及康复设备</w:t>
            </w:r>
          </w:p>
        </w:tc>
        <w:tc>
          <w:tcPr>
            <w:tcW w:w="9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21 </w:t>
            </w:r>
          </w:p>
        </w:tc>
        <w:tc>
          <w:tcPr>
            <w:tcW w:w="15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rsidR="00727228" w:rsidRPr="004E2D6B" w:rsidRDefault="00727228" w:rsidP="00C42905">
            <w:pPr>
              <w:widowControl/>
              <w:spacing w:line="360" w:lineRule="auto"/>
              <w:jc w:val="center"/>
              <w:rPr>
                <w:rFonts w:ascii="Times New Roman" w:hAnsi="Times New Roman" w:cs="Times New Roman"/>
                <w:kern w:val="0"/>
                <w:szCs w:val="21"/>
              </w:rPr>
            </w:pPr>
            <w:r w:rsidRPr="004E2D6B">
              <w:rPr>
                <w:rFonts w:ascii="Times New Roman" w:hAnsi="Times New Roman" w:cs="Times New Roman"/>
                <w:kern w:val="0"/>
                <w:szCs w:val="21"/>
              </w:rPr>
              <w:t xml:space="preserve">3.08% </w:t>
            </w:r>
          </w:p>
        </w:tc>
      </w:tr>
      <w:tr w:rsidR="007C34B7" w:rsidRPr="004E2D6B" w:rsidTr="00D669ED">
        <w:trPr>
          <w:trHeight w:val="45"/>
          <w:jc w:val="center"/>
        </w:trPr>
        <w:tc>
          <w:tcPr>
            <w:tcW w:w="5113" w:type="dxa"/>
            <w:gridSpan w:val="2"/>
            <w:tcBorders>
              <w:top w:val="single" w:sz="8" w:space="0" w:color="000000"/>
              <w:left w:val="single" w:sz="8" w:space="0" w:color="000000"/>
              <w:bottom w:val="single" w:sz="8" w:space="0" w:color="000000"/>
              <w:right w:val="single" w:sz="8" w:space="0" w:color="000000"/>
            </w:tcBorders>
          </w:tcPr>
          <w:p w:rsidR="007C34B7" w:rsidRPr="004E2D6B" w:rsidRDefault="007C34B7" w:rsidP="00C42905">
            <w:pPr>
              <w:widowControl/>
              <w:spacing w:line="360" w:lineRule="auto"/>
              <w:jc w:val="center"/>
              <w:rPr>
                <w:rFonts w:ascii="Times New Roman" w:hAnsi="Times New Roman" w:cs="Times New Roman"/>
                <w:kern w:val="0"/>
                <w:szCs w:val="21"/>
              </w:rPr>
            </w:pPr>
            <w:r w:rsidRPr="004E2D6B">
              <w:rPr>
                <w:rFonts w:ascii="Times New Roman" w:hAnsiTheme="minorEastAsia" w:cs="Times New Roman"/>
                <w:kern w:val="0"/>
                <w:szCs w:val="21"/>
              </w:rPr>
              <w:t>合计</w:t>
            </w:r>
            <w:r w:rsidRPr="004E2D6B">
              <w:rPr>
                <w:rFonts w:ascii="Times New Roman" w:hAnsi="Times New Roman" w:cs="Times New Roman"/>
                <w:kern w:val="0"/>
                <w:szCs w:val="21"/>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C34B7" w:rsidRPr="004E2D6B" w:rsidRDefault="007C34B7" w:rsidP="00C42905">
            <w:pPr>
              <w:widowControl/>
              <w:spacing w:line="360" w:lineRule="auto"/>
              <w:jc w:val="center"/>
              <w:textAlignment w:val="center"/>
              <w:rPr>
                <w:rFonts w:ascii="Times New Roman" w:hAnsi="Times New Roman" w:cs="Times New Roman"/>
                <w:kern w:val="0"/>
                <w:szCs w:val="21"/>
              </w:rPr>
            </w:pPr>
            <w:r w:rsidRPr="004E2D6B">
              <w:rPr>
                <w:rFonts w:ascii="Times New Roman" w:hAnsi="Times New Roman" w:cs="Times New Roman"/>
                <w:kern w:val="0"/>
                <w:szCs w:val="21"/>
              </w:rPr>
              <w:t>589</w:t>
            </w:r>
          </w:p>
        </w:tc>
        <w:tc>
          <w:tcPr>
            <w:tcW w:w="1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C34B7" w:rsidRPr="004E2D6B" w:rsidRDefault="007C34B7" w:rsidP="00C42905">
            <w:pPr>
              <w:widowControl/>
              <w:spacing w:line="360" w:lineRule="auto"/>
              <w:jc w:val="center"/>
              <w:textAlignment w:val="center"/>
              <w:rPr>
                <w:rFonts w:ascii="Times New Roman" w:hAnsi="Times New Roman" w:cs="Times New Roman"/>
                <w:kern w:val="0"/>
                <w:szCs w:val="21"/>
              </w:rPr>
            </w:pPr>
            <w:r w:rsidRPr="004E2D6B">
              <w:rPr>
                <w:rFonts w:ascii="Times New Roman" w:hAnsi="Times New Roman" w:cs="Times New Roman"/>
                <w:kern w:val="0"/>
                <w:szCs w:val="21"/>
              </w:rPr>
              <w:t>86.35%</w:t>
            </w:r>
          </w:p>
        </w:tc>
      </w:tr>
    </w:tbl>
    <w:p w:rsidR="006F5AA9" w:rsidRPr="004E2D6B" w:rsidRDefault="00E21818" w:rsidP="00C42905">
      <w:pPr>
        <w:widowControl/>
        <w:shd w:val="clear" w:color="auto" w:fill="FFFFFF"/>
        <w:spacing w:line="360" w:lineRule="auto"/>
        <w:ind w:firstLineChars="202" w:firstLine="426"/>
        <w:jc w:val="left"/>
        <w:outlineLvl w:val="0"/>
        <w:rPr>
          <w:rFonts w:ascii="Times New Roman" w:hAnsi="Times New Roman" w:cs="Times New Roman"/>
          <w:kern w:val="0"/>
          <w:szCs w:val="21"/>
        </w:rPr>
      </w:pPr>
      <w:r w:rsidRPr="004E2D6B">
        <w:rPr>
          <w:rFonts w:ascii="Times New Roman" w:hAnsi="Times New Roman" w:cs="Times New Roman"/>
          <w:b/>
          <w:bCs/>
          <w:kern w:val="0"/>
          <w:szCs w:val="21"/>
        </w:rPr>
        <w:lastRenderedPageBreak/>
        <w:t>5</w:t>
      </w:r>
      <w:r w:rsidR="006F5AA9" w:rsidRPr="004E2D6B">
        <w:rPr>
          <w:rFonts w:ascii="Times New Roman" w:hAnsi="Times New Roman" w:cs="Times New Roman"/>
          <w:b/>
          <w:bCs/>
          <w:kern w:val="0"/>
          <w:szCs w:val="21"/>
        </w:rPr>
        <w:t>.</w:t>
      </w:r>
      <w:r w:rsidR="005C1303" w:rsidRPr="004E2D6B">
        <w:rPr>
          <w:rFonts w:ascii="Times New Roman" w:hAnsiTheme="minorEastAsia" w:cs="Times New Roman"/>
          <w:b/>
          <w:bCs/>
          <w:kern w:val="0"/>
          <w:szCs w:val="21"/>
        </w:rPr>
        <w:t>涉及医疗器械产品</w:t>
      </w:r>
      <w:r w:rsidR="006F5AA9" w:rsidRPr="004E2D6B">
        <w:rPr>
          <w:rFonts w:ascii="Times New Roman" w:hAnsiTheme="minorEastAsia" w:cs="Times New Roman"/>
          <w:b/>
          <w:bCs/>
          <w:kern w:val="0"/>
          <w:szCs w:val="21"/>
        </w:rPr>
        <w:t>使用场所分析</w:t>
      </w:r>
      <w:r w:rsidR="002C0D7F" w:rsidRPr="004E2D6B">
        <w:rPr>
          <w:rFonts w:ascii="Times New Roman" w:hAnsi="Times New Roman" w:cs="Times New Roman"/>
          <w:b/>
          <w:bCs/>
          <w:kern w:val="0"/>
          <w:szCs w:val="21"/>
        </w:rPr>
        <w:tab/>
      </w:r>
    </w:p>
    <w:p w:rsidR="006F5AA9" w:rsidRPr="004E2D6B" w:rsidRDefault="006F5AA9" w:rsidP="00C42905">
      <w:pPr>
        <w:widowControl/>
        <w:shd w:val="clear" w:color="auto" w:fill="FFFFFF"/>
        <w:spacing w:line="360" w:lineRule="auto"/>
        <w:ind w:firstLineChars="202" w:firstLine="424"/>
        <w:jc w:val="left"/>
        <w:rPr>
          <w:rFonts w:ascii="Times New Roman" w:hAnsi="Times New Roman" w:cs="Times New Roman"/>
          <w:kern w:val="0"/>
          <w:szCs w:val="21"/>
        </w:rPr>
      </w:pPr>
      <w:r w:rsidRPr="004E2D6B">
        <w:rPr>
          <w:rFonts w:ascii="Times New Roman" w:hAnsi="Times New Roman" w:cs="Times New Roman"/>
          <w:kern w:val="0"/>
          <w:szCs w:val="21"/>
        </w:rPr>
        <w:t>201</w:t>
      </w:r>
      <w:r w:rsidR="00727228" w:rsidRPr="004E2D6B">
        <w:rPr>
          <w:rFonts w:ascii="Times New Roman" w:hAnsi="Times New Roman" w:cs="Times New Roman"/>
          <w:kern w:val="0"/>
          <w:szCs w:val="21"/>
        </w:rPr>
        <w:t>7</w:t>
      </w:r>
      <w:r w:rsidRPr="004E2D6B">
        <w:rPr>
          <w:rFonts w:ascii="Times New Roman" w:hAnsiTheme="minorEastAsia" w:cs="Times New Roman"/>
          <w:kern w:val="0"/>
          <w:szCs w:val="21"/>
        </w:rPr>
        <w:t>年，本市</w:t>
      </w:r>
      <w:r w:rsidR="002D0306" w:rsidRPr="004E2D6B">
        <w:rPr>
          <w:rFonts w:ascii="Times New Roman" w:hAnsiTheme="minorEastAsia" w:cs="Times New Roman"/>
          <w:kern w:val="0"/>
        </w:rPr>
        <w:t>可疑医疗器械不良事件报告</w:t>
      </w:r>
      <w:r w:rsidRPr="004E2D6B">
        <w:rPr>
          <w:rFonts w:ascii="Times New Roman" w:hAnsiTheme="minorEastAsia" w:cs="Times New Roman"/>
          <w:kern w:val="0"/>
          <w:szCs w:val="21"/>
        </w:rPr>
        <w:t>中涉及的医疗器械主要在医疗机构中使用，共计</w:t>
      </w:r>
      <w:r w:rsidR="00727228" w:rsidRPr="004E2D6B">
        <w:rPr>
          <w:rFonts w:ascii="Times New Roman" w:hAnsi="Times New Roman" w:cs="Times New Roman"/>
          <w:kern w:val="0"/>
          <w:szCs w:val="21"/>
        </w:rPr>
        <w:t>6269</w:t>
      </w:r>
      <w:r w:rsidRPr="004E2D6B">
        <w:rPr>
          <w:rFonts w:ascii="Times New Roman" w:hAnsiTheme="minorEastAsia" w:cs="Times New Roman"/>
          <w:kern w:val="0"/>
          <w:szCs w:val="21"/>
        </w:rPr>
        <w:t>份，</w:t>
      </w:r>
      <w:proofErr w:type="gramStart"/>
      <w:r w:rsidRPr="004E2D6B">
        <w:rPr>
          <w:rFonts w:ascii="Times New Roman" w:hAnsiTheme="minorEastAsia" w:cs="Times New Roman"/>
          <w:kern w:val="0"/>
          <w:szCs w:val="21"/>
        </w:rPr>
        <w:t>占报告</w:t>
      </w:r>
      <w:proofErr w:type="gramEnd"/>
      <w:r w:rsidRPr="004E2D6B">
        <w:rPr>
          <w:rFonts w:ascii="Times New Roman" w:hAnsiTheme="minorEastAsia" w:cs="Times New Roman"/>
          <w:kern w:val="0"/>
          <w:szCs w:val="21"/>
        </w:rPr>
        <w:t>总数的</w:t>
      </w:r>
      <w:r w:rsidRPr="004E2D6B">
        <w:rPr>
          <w:rFonts w:ascii="Times New Roman" w:hAnsi="Times New Roman" w:cs="Times New Roman"/>
          <w:kern w:val="0"/>
          <w:szCs w:val="21"/>
        </w:rPr>
        <w:t>8</w:t>
      </w:r>
      <w:r w:rsidR="00727228" w:rsidRPr="004E2D6B">
        <w:rPr>
          <w:rFonts w:ascii="Times New Roman" w:hAnsi="Times New Roman" w:cs="Times New Roman"/>
          <w:kern w:val="0"/>
          <w:szCs w:val="21"/>
        </w:rPr>
        <w:t>6</w:t>
      </w:r>
      <w:r w:rsidRPr="004E2D6B">
        <w:rPr>
          <w:rFonts w:ascii="Times New Roman" w:hAnsi="Times New Roman" w:cs="Times New Roman"/>
          <w:kern w:val="0"/>
          <w:szCs w:val="21"/>
        </w:rPr>
        <w:t>%</w:t>
      </w:r>
      <w:r w:rsidRPr="004E2D6B">
        <w:rPr>
          <w:rFonts w:ascii="Times New Roman" w:hAnsiTheme="minorEastAsia" w:cs="Times New Roman"/>
          <w:kern w:val="0"/>
          <w:szCs w:val="21"/>
        </w:rPr>
        <w:t>。</w:t>
      </w:r>
      <w:r w:rsidR="00727228" w:rsidRPr="004E2D6B">
        <w:rPr>
          <w:rFonts w:ascii="Times New Roman" w:hAnsi="Times New Roman" w:cs="Times New Roman"/>
          <w:kern w:val="0"/>
          <w:szCs w:val="21"/>
        </w:rPr>
        <w:t>797</w:t>
      </w:r>
      <w:r w:rsidRPr="004E2D6B">
        <w:rPr>
          <w:rFonts w:ascii="Times New Roman" w:hAnsiTheme="minorEastAsia" w:cs="Times New Roman"/>
          <w:kern w:val="0"/>
          <w:szCs w:val="21"/>
        </w:rPr>
        <w:t>例在家庭中使用的主要为角膜接触镜和电子血压计、血糖仪、消痛贴等，</w:t>
      </w:r>
      <w:proofErr w:type="gramStart"/>
      <w:r w:rsidRPr="004E2D6B">
        <w:rPr>
          <w:rFonts w:ascii="Times New Roman" w:hAnsiTheme="minorEastAsia" w:cs="Times New Roman"/>
          <w:kern w:val="0"/>
          <w:szCs w:val="21"/>
        </w:rPr>
        <w:t>占报告</w:t>
      </w:r>
      <w:proofErr w:type="gramEnd"/>
      <w:r w:rsidRPr="004E2D6B">
        <w:rPr>
          <w:rFonts w:ascii="Times New Roman" w:hAnsiTheme="minorEastAsia" w:cs="Times New Roman"/>
          <w:kern w:val="0"/>
          <w:szCs w:val="21"/>
        </w:rPr>
        <w:t>总数的</w:t>
      </w:r>
      <w:r w:rsidR="00BB64FF" w:rsidRPr="004E2D6B">
        <w:rPr>
          <w:rFonts w:ascii="Times New Roman" w:hAnsi="Times New Roman" w:cs="Times New Roman"/>
          <w:kern w:val="0"/>
          <w:szCs w:val="21"/>
        </w:rPr>
        <w:t>1</w:t>
      </w:r>
      <w:r w:rsidR="00727228" w:rsidRPr="004E2D6B">
        <w:rPr>
          <w:rFonts w:ascii="Times New Roman" w:hAnsi="Times New Roman" w:cs="Times New Roman"/>
          <w:kern w:val="0"/>
          <w:szCs w:val="21"/>
        </w:rPr>
        <w:t>1</w:t>
      </w:r>
      <w:r w:rsidRPr="004E2D6B">
        <w:rPr>
          <w:rFonts w:ascii="Times New Roman" w:hAnsi="Times New Roman" w:cs="Times New Roman"/>
          <w:kern w:val="0"/>
          <w:szCs w:val="21"/>
        </w:rPr>
        <w:t>%</w:t>
      </w:r>
      <w:r w:rsidRPr="004E2D6B">
        <w:rPr>
          <w:rFonts w:ascii="Times New Roman" w:hAnsiTheme="minorEastAsia" w:cs="Times New Roman"/>
          <w:kern w:val="0"/>
          <w:szCs w:val="21"/>
        </w:rPr>
        <w:t>；</w:t>
      </w:r>
      <w:r w:rsidR="00727228" w:rsidRPr="004E2D6B">
        <w:rPr>
          <w:rFonts w:ascii="Times New Roman" w:hAnsi="Times New Roman" w:cs="Times New Roman"/>
          <w:kern w:val="0"/>
          <w:szCs w:val="21"/>
        </w:rPr>
        <w:t>212</w:t>
      </w:r>
      <w:r w:rsidRPr="004E2D6B">
        <w:rPr>
          <w:rFonts w:ascii="Times New Roman" w:hAnsiTheme="minorEastAsia" w:cs="Times New Roman"/>
          <w:kern w:val="0"/>
          <w:szCs w:val="21"/>
        </w:rPr>
        <w:t>份报告使用场所为其他，</w:t>
      </w:r>
      <w:proofErr w:type="gramStart"/>
      <w:r w:rsidRPr="004E2D6B">
        <w:rPr>
          <w:rFonts w:ascii="Times New Roman" w:hAnsiTheme="minorEastAsia" w:cs="Times New Roman"/>
          <w:kern w:val="0"/>
          <w:szCs w:val="21"/>
        </w:rPr>
        <w:t>占报告</w:t>
      </w:r>
      <w:proofErr w:type="gramEnd"/>
      <w:r w:rsidRPr="004E2D6B">
        <w:rPr>
          <w:rFonts w:ascii="Times New Roman" w:hAnsiTheme="minorEastAsia" w:cs="Times New Roman"/>
          <w:kern w:val="0"/>
          <w:szCs w:val="21"/>
        </w:rPr>
        <w:t>总数的</w:t>
      </w:r>
      <w:r w:rsidR="00727228" w:rsidRPr="004E2D6B">
        <w:rPr>
          <w:rFonts w:ascii="Times New Roman" w:hAnsi="Times New Roman" w:cs="Times New Roman"/>
          <w:kern w:val="0"/>
          <w:szCs w:val="21"/>
        </w:rPr>
        <w:t>3</w:t>
      </w:r>
      <w:r w:rsidRPr="004E2D6B">
        <w:rPr>
          <w:rFonts w:ascii="Times New Roman" w:hAnsi="Times New Roman" w:cs="Times New Roman"/>
          <w:kern w:val="0"/>
          <w:szCs w:val="21"/>
        </w:rPr>
        <w:t>%</w:t>
      </w:r>
      <w:r w:rsidRPr="004E2D6B">
        <w:rPr>
          <w:rFonts w:ascii="Times New Roman" w:hAnsiTheme="minorEastAsia" w:cs="Times New Roman"/>
          <w:kern w:val="0"/>
          <w:szCs w:val="21"/>
        </w:rPr>
        <w:t>，涉及</w:t>
      </w:r>
      <w:r w:rsidR="00BB64FF" w:rsidRPr="004E2D6B">
        <w:rPr>
          <w:rFonts w:ascii="Times New Roman" w:hAnsiTheme="minorEastAsia" w:cs="Times New Roman"/>
          <w:kern w:val="0"/>
          <w:szCs w:val="21"/>
        </w:rPr>
        <w:t>定制式</w:t>
      </w:r>
      <w:r w:rsidR="002D0306" w:rsidRPr="004E2D6B">
        <w:rPr>
          <w:rFonts w:ascii="Times New Roman" w:hAnsiTheme="minorEastAsia" w:cs="Times New Roman"/>
          <w:kern w:val="0"/>
          <w:szCs w:val="21"/>
        </w:rPr>
        <w:t>义齿、</w:t>
      </w:r>
      <w:r w:rsidRPr="004E2D6B">
        <w:rPr>
          <w:rFonts w:ascii="Times New Roman" w:hAnsiTheme="minorEastAsia" w:cs="Times New Roman"/>
          <w:kern w:val="0"/>
          <w:szCs w:val="21"/>
        </w:rPr>
        <w:t>电子血压计、体温计等，或个别一次性注射器或输液器包装破损或产品因运输环节异常导致产品未能使用（</w:t>
      </w:r>
      <w:r w:rsidR="00DE3733">
        <w:fldChar w:fldCharType="begin"/>
      </w:r>
      <w:r w:rsidR="00DE3733">
        <w:instrText xml:space="preserve"> REF _Ref475535875 \h  \* MERGEFORMAT </w:instrText>
      </w:r>
      <w:r w:rsidR="00DE3733">
        <w:fldChar w:fldCharType="separate"/>
      </w:r>
      <w:r w:rsidR="00E21818" w:rsidRPr="004E2D6B">
        <w:rPr>
          <w:rFonts w:ascii="Times New Roman" w:hAnsiTheme="minorEastAsia" w:cs="Times New Roman"/>
        </w:rPr>
        <w:t>图</w:t>
      </w:r>
      <w:r w:rsidR="00E21818" w:rsidRPr="004E2D6B">
        <w:rPr>
          <w:rFonts w:ascii="Times New Roman" w:hAnsiTheme="minorEastAsia" w:cs="Times New Roman"/>
        </w:rPr>
        <w:t>8</w:t>
      </w:r>
      <w:r w:rsidR="00DE3733">
        <w:fldChar w:fldCharType="end"/>
      </w:r>
      <w:r w:rsidRPr="004E2D6B">
        <w:rPr>
          <w:rFonts w:ascii="Times New Roman" w:hAnsiTheme="minorEastAsia" w:cs="Times New Roman"/>
          <w:kern w:val="0"/>
          <w:szCs w:val="21"/>
        </w:rPr>
        <w:t>）。</w:t>
      </w:r>
    </w:p>
    <w:p w:rsidR="006F5AA9" w:rsidRPr="004E2D6B" w:rsidRDefault="00727228" w:rsidP="00C42905">
      <w:pPr>
        <w:widowControl/>
        <w:shd w:val="clear" w:color="auto" w:fill="FFFFFF"/>
        <w:spacing w:line="360" w:lineRule="auto"/>
        <w:ind w:firstLineChars="202" w:firstLine="424"/>
        <w:jc w:val="left"/>
        <w:rPr>
          <w:rFonts w:ascii="Times New Roman" w:hAnsi="Times New Roman" w:cs="Times New Roman"/>
          <w:kern w:val="0"/>
          <w:szCs w:val="21"/>
        </w:rPr>
      </w:pPr>
      <w:r w:rsidRPr="004E2D6B">
        <w:rPr>
          <w:rFonts w:ascii="Times New Roman" w:hAnsi="Times New Roman" w:cs="Times New Roman"/>
          <w:noProof/>
          <w:kern w:val="0"/>
          <w:szCs w:val="21"/>
        </w:rPr>
        <w:drawing>
          <wp:inline distT="0" distB="0" distL="0" distR="0">
            <wp:extent cx="4572000" cy="2743200"/>
            <wp:effectExtent l="19050" t="0" r="19050" b="0"/>
            <wp:docPr id="1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5AA9" w:rsidRPr="004E2D6B" w:rsidRDefault="00031BE3" w:rsidP="003111E8">
      <w:pPr>
        <w:pStyle w:val="ac"/>
        <w:spacing w:line="360" w:lineRule="auto"/>
        <w:jc w:val="center"/>
        <w:rPr>
          <w:rFonts w:ascii="Times New Roman" w:eastAsiaTheme="minorEastAsia" w:hAnsi="Times New Roman" w:cs="Times New Roman"/>
          <w:kern w:val="0"/>
          <w:szCs w:val="21"/>
        </w:rPr>
      </w:pPr>
      <w:bookmarkStart w:id="10" w:name="_Ref475535875"/>
      <w:r w:rsidRPr="004E2D6B">
        <w:rPr>
          <w:rFonts w:ascii="Times New Roman" w:eastAsiaTheme="minorEastAsia" w:hAnsiTheme="minorEastAsia" w:cs="Times New Roman"/>
        </w:rPr>
        <w:t>图</w:t>
      </w:r>
      <w:r w:rsidRPr="004E2D6B">
        <w:rPr>
          <w:rFonts w:ascii="Times New Roman" w:eastAsiaTheme="minorEastAsia" w:hAnsi="Times New Roman" w:cs="Times New Roman"/>
        </w:rPr>
        <w:t xml:space="preserve"> </w:t>
      </w:r>
      <w:bookmarkEnd w:id="10"/>
      <w:r w:rsidR="00E21818" w:rsidRPr="004E2D6B">
        <w:rPr>
          <w:rFonts w:ascii="Times New Roman" w:eastAsiaTheme="minorEastAsia" w:hAnsi="Times New Roman" w:cs="Times New Roman"/>
        </w:rPr>
        <w:t>8</w:t>
      </w:r>
      <w:r w:rsidRPr="004E2D6B">
        <w:rPr>
          <w:rFonts w:ascii="Times New Roman" w:eastAsiaTheme="minorEastAsia" w:hAnsi="Times New Roman" w:cs="Times New Roman"/>
        </w:rPr>
        <w:t xml:space="preserve">. </w:t>
      </w:r>
      <w:r w:rsidR="002F09A9" w:rsidRPr="004E2D6B">
        <w:rPr>
          <w:rFonts w:ascii="Times New Roman" w:eastAsiaTheme="minorEastAsia" w:hAnsi="Times New Roman" w:cs="Times New Roman"/>
          <w:kern w:val="0"/>
          <w:szCs w:val="21"/>
        </w:rPr>
        <w:t>201</w:t>
      </w:r>
      <w:r w:rsidR="00727228" w:rsidRPr="004E2D6B">
        <w:rPr>
          <w:rFonts w:ascii="Times New Roman" w:eastAsiaTheme="minorEastAsia" w:hAnsi="Times New Roman" w:cs="Times New Roman"/>
          <w:kern w:val="0"/>
          <w:szCs w:val="21"/>
        </w:rPr>
        <w:t>7</w:t>
      </w:r>
      <w:r w:rsidR="002F09A9" w:rsidRPr="004E2D6B">
        <w:rPr>
          <w:rFonts w:ascii="Times New Roman" w:eastAsiaTheme="minorEastAsia" w:hAnsiTheme="minorEastAsia" w:cs="Times New Roman"/>
          <w:kern w:val="0"/>
          <w:szCs w:val="21"/>
        </w:rPr>
        <w:t>年度上海市</w:t>
      </w:r>
      <w:r w:rsidR="002F09A9" w:rsidRPr="004E2D6B">
        <w:rPr>
          <w:rFonts w:ascii="Times New Roman" w:eastAsiaTheme="minorEastAsia" w:hAnsiTheme="minorEastAsia" w:cs="Times New Roman"/>
          <w:kern w:val="0"/>
        </w:rPr>
        <w:t>可疑医疗器械不良事件报告</w:t>
      </w:r>
      <w:r w:rsidR="006F5AA9" w:rsidRPr="004E2D6B">
        <w:rPr>
          <w:rFonts w:ascii="Times New Roman" w:eastAsiaTheme="minorEastAsia" w:hAnsiTheme="minorEastAsia" w:cs="Times New Roman"/>
          <w:kern w:val="0"/>
          <w:szCs w:val="21"/>
        </w:rPr>
        <w:t>涉及</w:t>
      </w:r>
      <w:r w:rsidR="005C1303" w:rsidRPr="004E2D6B">
        <w:rPr>
          <w:rFonts w:ascii="Times New Roman" w:eastAsiaTheme="minorEastAsia" w:hAnsiTheme="minorEastAsia" w:cs="Times New Roman"/>
          <w:kern w:val="0"/>
          <w:szCs w:val="21"/>
        </w:rPr>
        <w:t>医疗</w:t>
      </w:r>
      <w:r w:rsidR="006F5AA9" w:rsidRPr="004E2D6B">
        <w:rPr>
          <w:rFonts w:ascii="Times New Roman" w:eastAsiaTheme="minorEastAsia" w:hAnsiTheme="minorEastAsia" w:cs="Times New Roman"/>
          <w:kern w:val="0"/>
          <w:szCs w:val="21"/>
        </w:rPr>
        <w:t>器械</w:t>
      </w:r>
      <w:r w:rsidR="005C1303" w:rsidRPr="004E2D6B">
        <w:rPr>
          <w:rFonts w:ascii="Times New Roman" w:eastAsiaTheme="minorEastAsia" w:hAnsiTheme="minorEastAsia" w:cs="Times New Roman"/>
          <w:kern w:val="0"/>
          <w:szCs w:val="21"/>
        </w:rPr>
        <w:t>产品</w:t>
      </w:r>
      <w:r w:rsidR="006F5AA9" w:rsidRPr="004E2D6B">
        <w:rPr>
          <w:rFonts w:ascii="Times New Roman" w:eastAsiaTheme="minorEastAsia" w:hAnsiTheme="minorEastAsia" w:cs="Times New Roman"/>
          <w:kern w:val="0"/>
          <w:szCs w:val="21"/>
        </w:rPr>
        <w:t>使用场所分析</w:t>
      </w:r>
    </w:p>
    <w:p w:rsidR="004E2D6B" w:rsidRDefault="004E2D6B"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Default="003111E8" w:rsidP="00C42905">
      <w:pPr>
        <w:spacing w:line="360" w:lineRule="auto"/>
        <w:rPr>
          <w:rFonts w:ascii="Times New Roman" w:hAnsi="Times New Roman" w:cs="Times New Roman"/>
          <w:kern w:val="0"/>
          <w:szCs w:val="21"/>
        </w:rPr>
      </w:pPr>
    </w:p>
    <w:p w:rsidR="003111E8" w:rsidRPr="004E2D6B" w:rsidRDefault="003111E8" w:rsidP="00C42905">
      <w:pPr>
        <w:spacing w:line="360" w:lineRule="auto"/>
        <w:rPr>
          <w:rFonts w:ascii="Times New Roman" w:hAnsi="Times New Roman" w:cs="Times New Roman"/>
          <w:kern w:val="0"/>
          <w:szCs w:val="21"/>
        </w:rPr>
      </w:pPr>
    </w:p>
    <w:p w:rsidR="00824725" w:rsidRDefault="00824725" w:rsidP="00C42905">
      <w:pPr>
        <w:spacing w:line="360" w:lineRule="auto"/>
        <w:rPr>
          <w:rFonts w:ascii="Times New Roman" w:hAnsiTheme="minorEastAsia" w:cs="Times New Roman"/>
          <w:b/>
          <w:kern w:val="0"/>
          <w:szCs w:val="21"/>
        </w:rPr>
      </w:pPr>
      <w:r w:rsidRPr="003111E8">
        <w:rPr>
          <w:rFonts w:ascii="Times New Roman" w:hAnsiTheme="minorEastAsia" w:cs="Times New Roman"/>
          <w:b/>
          <w:kern w:val="0"/>
          <w:szCs w:val="21"/>
        </w:rPr>
        <w:lastRenderedPageBreak/>
        <w:t>医疗器械不良事件监测小贴士</w:t>
      </w:r>
    </w:p>
    <w:p w:rsidR="003111E8" w:rsidRPr="003111E8" w:rsidRDefault="003111E8" w:rsidP="00C42905">
      <w:pPr>
        <w:spacing w:line="360" w:lineRule="auto"/>
        <w:rPr>
          <w:rFonts w:ascii="Times New Roman" w:hAnsi="Times New Roman" w:cs="Times New Roman"/>
          <w:b/>
          <w:kern w:val="0"/>
          <w:szCs w:val="21"/>
        </w:rPr>
      </w:pPr>
    </w:p>
    <w:p w:rsidR="007C34B7" w:rsidRDefault="00824725" w:rsidP="003111E8">
      <w:pPr>
        <w:spacing w:line="276" w:lineRule="auto"/>
        <w:ind w:firstLineChars="202" w:firstLine="424"/>
        <w:rPr>
          <w:rFonts w:ascii="Times New Roman" w:hAnsiTheme="minorEastAsia" w:cs="Times New Roman"/>
          <w:kern w:val="0"/>
          <w:szCs w:val="21"/>
        </w:rPr>
      </w:pPr>
      <w:r w:rsidRPr="004E2D6B">
        <w:rPr>
          <w:rFonts w:ascii="Times New Roman" w:hAnsiTheme="minorEastAsia" w:cs="Times New Roman"/>
          <w:kern w:val="0"/>
          <w:szCs w:val="21"/>
        </w:rPr>
        <w:t>一、医疗器械不良事件</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指获准注册或已备案、质量合格的医疗器械，在正常使用情况下发生的，导致或可能导致人体伤害的各种有害事件。我国医疗器械不良事件监测按照</w:t>
      </w:r>
      <w:r w:rsidRPr="004E2D6B">
        <w:rPr>
          <w:rFonts w:ascii="Times New Roman" w:hAnsi="Times New Roman" w:cs="Times New Roman"/>
          <w:kern w:val="0"/>
          <w:szCs w:val="21"/>
        </w:rPr>
        <w:t>“</w:t>
      </w:r>
      <w:r w:rsidRPr="004E2D6B">
        <w:rPr>
          <w:rFonts w:ascii="Times New Roman" w:hAnsiTheme="minorEastAsia" w:cs="Times New Roman"/>
          <w:kern w:val="0"/>
          <w:szCs w:val="21"/>
        </w:rPr>
        <w:t>可疑即报</w:t>
      </w:r>
      <w:r w:rsidRPr="004E2D6B">
        <w:rPr>
          <w:rFonts w:ascii="Times New Roman" w:hAnsi="Times New Roman" w:cs="Times New Roman"/>
          <w:kern w:val="0"/>
          <w:szCs w:val="21"/>
        </w:rPr>
        <w:t>”</w:t>
      </w:r>
      <w:r w:rsidRPr="004E2D6B">
        <w:rPr>
          <w:rFonts w:ascii="Times New Roman" w:hAnsiTheme="minorEastAsia" w:cs="Times New Roman"/>
          <w:kern w:val="0"/>
          <w:szCs w:val="21"/>
        </w:rPr>
        <w:t>原则收集报告，即为可疑医疗器械不良事件报告。开展不良事件监测目的是找到不良事件发生原因，避免事件重复发生。</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我们关注以下医疗器械不良事件：</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imes New Roman" w:cs="Times New Roman"/>
          <w:kern w:val="0"/>
          <w:szCs w:val="21"/>
        </w:rPr>
        <w:t>1</w:t>
      </w:r>
      <w:r w:rsidRPr="004E2D6B">
        <w:rPr>
          <w:rFonts w:ascii="Times New Roman" w:hAnsiTheme="minorEastAsia" w:cs="Times New Roman"/>
          <w:kern w:val="0"/>
          <w:szCs w:val="21"/>
        </w:rPr>
        <w:t>．</w:t>
      </w:r>
      <w:r w:rsidRPr="004E2D6B">
        <w:rPr>
          <w:rFonts w:ascii="Times New Roman" w:hAnsi="Times New Roman" w:cs="Times New Roman"/>
          <w:kern w:val="0"/>
          <w:szCs w:val="21"/>
        </w:rPr>
        <w:tab/>
      </w:r>
      <w:r w:rsidRPr="004E2D6B">
        <w:rPr>
          <w:rFonts w:ascii="Times New Roman" w:hAnsiTheme="minorEastAsia" w:cs="Times New Roman"/>
          <w:kern w:val="0"/>
          <w:szCs w:val="21"/>
        </w:rPr>
        <w:t>医疗设备在正常使用过程中出现故障，导致诊断治疗延误。</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imes New Roman" w:cs="Times New Roman"/>
          <w:kern w:val="0"/>
          <w:szCs w:val="21"/>
        </w:rPr>
        <w:t>2</w:t>
      </w:r>
      <w:r w:rsidRPr="004E2D6B">
        <w:rPr>
          <w:rFonts w:ascii="Times New Roman" w:hAnsiTheme="minorEastAsia" w:cs="Times New Roman"/>
          <w:kern w:val="0"/>
          <w:szCs w:val="21"/>
        </w:rPr>
        <w:t>．</w:t>
      </w:r>
      <w:r w:rsidRPr="004E2D6B">
        <w:rPr>
          <w:rFonts w:ascii="Times New Roman" w:hAnsi="Times New Roman" w:cs="Times New Roman"/>
          <w:kern w:val="0"/>
          <w:szCs w:val="21"/>
        </w:rPr>
        <w:tab/>
      </w:r>
      <w:r w:rsidRPr="004E2D6B">
        <w:rPr>
          <w:rFonts w:ascii="Times New Roman" w:hAnsiTheme="minorEastAsia" w:cs="Times New Roman"/>
          <w:kern w:val="0"/>
          <w:szCs w:val="21"/>
        </w:rPr>
        <w:t>植入</w:t>
      </w:r>
      <w:proofErr w:type="gramStart"/>
      <w:r w:rsidRPr="004E2D6B">
        <w:rPr>
          <w:rFonts w:ascii="Times New Roman" w:hAnsiTheme="minorEastAsia" w:cs="Times New Roman"/>
          <w:kern w:val="0"/>
          <w:szCs w:val="21"/>
        </w:rPr>
        <w:t>物正常</w:t>
      </w:r>
      <w:proofErr w:type="gramEnd"/>
      <w:r w:rsidRPr="004E2D6B">
        <w:rPr>
          <w:rFonts w:ascii="Times New Roman" w:hAnsiTheme="minorEastAsia" w:cs="Times New Roman"/>
          <w:kern w:val="0"/>
          <w:szCs w:val="21"/>
        </w:rPr>
        <w:t>使用过程中失效，导致病人受到伤害。</w:t>
      </w:r>
    </w:p>
    <w:p w:rsidR="003111E8" w:rsidRPr="007C34B7" w:rsidRDefault="00824725" w:rsidP="003111E8">
      <w:pPr>
        <w:spacing w:line="276" w:lineRule="auto"/>
        <w:ind w:firstLineChars="202" w:firstLine="424"/>
        <w:rPr>
          <w:rFonts w:ascii="Times New Roman" w:hAnsiTheme="minorEastAsia" w:cs="Times New Roman"/>
          <w:kern w:val="0"/>
          <w:szCs w:val="21"/>
        </w:rPr>
      </w:pPr>
      <w:r w:rsidRPr="004E2D6B">
        <w:rPr>
          <w:rFonts w:ascii="Times New Roman" w:hAnsi="Times New Roman" w:cs="Times New Roman"/>
          <w:kern w:val="0"/>
          <w:szCs w:val="21"/>
        </w:rPr>
        <w:t>3</w:t>
      </w:r>
      <w:r w:rsidRPr="004E2D6B">
        <w:rPr>
          <w:rFonts w:ascii="Times New Roman" w:hAnsiTheme="minorEastAsia" w:cs="Times New Roman"/>
          <w:kern w:val="0"/>
          <w:szCs w:val="21"/>
        </w:rPr>
        <w:t>．</w:t>
      </w:r>
      <w:r w:rsidRPr="004E2D6B">
        <w:rPr>
          <w:rFonts w:ascii="Times New Roman" w:hAnsi="Times New Roman" w:cs="Times New Roman"/>
          <w:kern w:val="0"/>
          <w:szCs w:val="21"/>
        </w:rPr>
        <w:tab/>
      </w:r>
      <w:r w:rsidRPr="004E2D6B">
        <w:rPr>
          <w:rFonts w:ascii="Times New Roman" w:hAnsiTheme="minorEastAsia" w:cs="Times New Roman"/>
          <w:kern w:val="0"/>
          <w:szCs w:val="21"/>
        </w:rPr>
        <w:t>诊断试剂或仪器正常使用时出现检测结果假性升高或假性降低，导致诊断治疗错误或延误。</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二、医疗器械不良事件与质量事故、医疗事故的区别</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imes New Roman" w:cs="Times New Roman"/>
          <w:kern w:val="0"/>
          <w:szCs w:val="21"/>
        </w:rPr>
        <w:t>1</w:t>
      </w:r>
      <w:r w:rsidRPr="004E2D6B">
        <w:rPr>
          <w:rFonts w:ascii="Times New Roman" w:hAnsiTheme="minorEastAsia" w:cs="Times New Roman"/>
          <w:kern w:val="0"/>
          <w:szCs w:val="21"/>
        </w:rPr>
        <w:t>．医疗器械不良事件主要是由于产品的设计缺陷、已经注册审核的使用说明书不准确或不充分等原因造成的，但其产品的质量是合格的。</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imes New Roman" w:cs="Times New Roman"/>
          <w:kern w:val="0"/>
          <w:szCs w:val="21"/>
        </w:rPr>
        <w:t>2</w:t>
      </w:r>
      <w:r w:rsidRPr="004E2D6B">
        <w:rPr>
          <w:rFonts w:ascii="Times New Roman" w:hAnsiTheme="minorEastAsia" w:cs="Times New Roman"/>
          <w:kern w:val="0"/>
          <w:szCs w:val="21"/>
        </w:rPr>
        <w:t>．医疗器械质量事故主要是指其质量不符合注册产品标准等规定造成的事故。</w:t>
      </w:r>
    </w:p>
    <w:p w:rsidR="003111E8" w:rsidRPr="007C34B7" w:rsidRDefault="00824725" w:rsidP="003111E8">
      <w:pPr>
        <w:spacing w:line="276" w:lineRule="auto"/>
        <w:ind w:firstLineChars="202" w:firstLine="424"/>
        <w:rPr>
          <w:rFonts w:ascii="Times New Roman" w:hAnsiTheme="minorEastAsia" w:cs="Times New Roman"/>
          <w:kern w:val="0"/>
          <w:szCs w:val="21"/>
        </w:rPr>
      </w:pPr>
      <w:r w:rsidRPr="004E2D6B">
        <w:rPr>
          <w:rFonts w:ascii="Times New Roman" w:hAnsi="Times New Roman" w:cs="Times New Roman"/>
          <w:kern w:val="0"/>
          <w:szCs w:val="21"/>
        </w:rPr>
        <w:t>3</w:t>
      </w:r>
      <w:r w:rsidRPr="004E2D6B">
        <w:rPr>
          <w:rFonts w:ascii="Times New Roman" w:hAnsiTheme="minorEastAsia" w:cs="Times New Roman"/>
          <w:kern w:val="0"/>
          <w:szCs w:val="21"/>
        </w:rPr>
        <w:t>．医疗事故是指医疗机构及其医务人员在医疗活动中，违反医疗卫生管理法律、行政法规、部门规章和诊疗护理规范、常规，过失造成患者人身损害的事故。（摘自卫生部《医疗事故处理条例》）</w:t>
      </w:r>
    </w:p>
    <w:p w:rsidR="007C34B7" w:rsidRDefault="00824725" w:rsidP="003111E8">
      <w:pPr>
        <w:spacing w:line="276" w:lineRule="auto"/>
        <w:ind w:firstLineChars="202" w:firstLine="424"/>
        <w:rPr>
          <w:rFonts w:ascii="Times New Roman" w:hAnsiTheme="minorEastAsia" w:cs="Times New Roman"/>
          <w:kern w:val="0"/>
          <w:szCs w:val="21"/>
        </w:rPr>
      </w:pPr>
      <w:r w:rsidRPr="004E2D6B">
        <w:rPr>
          <w:rFonts w:ascii="Times New Roman" w:hAnsiTheme="minorEastAsia" w:cs="Times New Roman"/>
          <w:kern w:val="0"/>
          <w:szCs w:val="21"/>
        </w:rPr>
        <w:t>三、家庭中常用的医疗器械</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主要有血压计、体温计、血糖仪、隐形眼镜、胰岛素注射笔等。</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血压计主要分为水银柱式血压计和电子（无液）血压计两大类。血压计在使用中可能会发生导致或者可能导致人体伤害的可疑不良事件，主要表现为测量结果不准确、间断性黑屏、不显示血压值等。</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体温计主要分为玻璃体温计、电子体温计和红外体温计。其在使用中可能出现的不良事件主要表现为测量结果不准确、水银柱不上升</w:t>
      </w:r>
      <w:r w:rsidRPr="004E2D6B">
        <w:rPr>
          <w:rFonts w:ascii="Times New Roman" w:hAnsi="Times New Roman" w:cs="Times New Roman"/>
          <w:kern w:val="0"/>
          <w:szCs w:val="21"/>
        </w:rPr>
        <w:t>/</w:t>
      </w:r>
      <w:r w:rsidRPr="004E2D6B">
        <w:rPr>
          <w:rFonts w:ascii="Times New Roman" w:hAnsiTheme="minorEastAsia" w:cs="Times New Roman"/>
          <w:kern w:val="0"/>
          <w:szCs w:val="21"/>
        </w:rPr>
        <w:t>下降、不能计数等。</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血糖仪在使用中可能会发生导致或者可能导致人体伤害的可疑不良事件，主要表现为血糖测量值不准确、血糖值显示不清晰、屏幕不显示等。</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胰岛素注射笔在使用中可能会出现的不良事件主要为注射部位疼痛、注射针头漏液、推动困难、笔芯密封不严、笔芯变色等。</w:t>
      </w:r>
    </w:p>
    <w:p w:rsidR="00824725" w:rsidRPr="004E2D6B" w:rsidRDefault="00824725" w:rsidP="003111E8">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隐形眼镜可能导致人体伤害的主要可疑不良事件为眼睛干涩、红肿、疼痛、流泪、畏光、视物不清、充血、刺激感等。</w:t>
      </w:r>
    </w:p>
    <w:p w:rsidR="00824725" w:rsidRPr="004E2D6B" w:rsidRDefault="007C34B7" w:rsidP="003111E8">
      <w:pPr>
        <w:spacing w:line="276" w:lineRule="auto"/>
        <w:ind w:firstLineChars="202" w:firstLine="424"/>
        <w:rPr>
          <w:rFonts w:ascii="Times New Roman" w:hAnsi="Times New Roman" w:cs="Times New Roman"/>
          <w:kern w:val="0"/>
          <w:szCs w:val="21"/>
        </w:rPr>
      </w:pPr>
      <w:r>
        <w:rPr>
          <w:rFonts w:ascii="Times New Roman" w:hAnsi="Times New Roman" w:cs="Times New Roman" w:hint="eastAsia"/>
          <w:kern w:val="0"/>
          <w:szCs w:val="21"/>
        </w:rPr>
        <w:t>四、</w:t>
      </w:r>
      <w:r w:rsidR="00824725" w:rsidRPr="004E2D6B">
        <w:rPr>
          <w:rFonts w:ascii="Times New Roman" w:hAnsiTheme="minorEastAsia" w:cs="Times New Roman"/>
          <w:kern w:val="0"/>
          <w:szCs w:val="21"/>
        </w:rPr>
        <w:t>个人发现导致或者可能导致严重伤害或死亡的医疗器械不良事件该如何上报？</w:t>
      </w:r>
    </w:p>
    <w:p w:rsidR="00824725" w:rsidRPr="004E2D6B" w:rsidRDefault="00824725" w:rsidP="007C34B7">
      <w:pPr>
        <w:spacing w:line="276" w:lineRule="auto"/>
        <w:ind w:firstLineChars="202" w:firstLine="424"/>
        <w:rPr>
          <w:rFonts w:ascii="Times New Roman" w:hAnsi="Times New Roman" w:cs="Times New Roman"/>
          <w:kern w:val="0"/>
          <w:szCs w:val="21"/>
        </w:rPr>
      </w:pPr>
      <w:r w:rsidRPr="004E2D6B">
        <w:rPr>
          <w:rFonts w:ascii="Times New Roman" w:hAnsiTheme="minorEastAsia" w:cs="Times New Roman"/>
          <w:kern w:val="0"/>
          <w:szCs w:val="21"/>
        </w:rPr>
        <w:t>个人发现导致或者可能导致严重伤害或死亡的医疗器械不良事件，可以将医疗器械不良事件情况告诉医生，请医生为您填写《可疑医疗器械不良事件报告表》；也可以向事发地所在区市场监督管理局报告。或者自行下载并填写《可疑医疗器械不良事件报告表》</w:t>
      </w:r>
      <w:r w:rsidR="000432D3">
        <w:rPr>
          <w:rFonts w:ascii="Times New Roman" w:hAnsi="Times New Roman" w:cs="Times New Roman"/>
          <w:kern w:val="0"/>
          <w:szCs w:val="21"/>
        </w:rPr>
        <w:t>，</w:t>
      </w:r>
      <w:r w:rsidRPr="004E2D6B">
        <w:rPr>
          <w:rFonts w:ascii="Times New Roman" w:hAnsiTheme="minorEastAsia" w:cs="Times New Roman"/>
          <w:kern w:val="0"/>
          <w:szCs w:val="21"/>
        </w:rPr>
        <w:t>并邮寄至事发地所在区市场监督管理局。报告下载网站</w:t>
      </w:r>
      <w:r w:rsidRPr="004E2D6B">
        <w:rPr>
          <w:rFonts w:ascii="Times New Roman" w:hAnsi="Times New Roman" w:cs="Times New Roman"/>
          <w:kern w:val="0"/>
          <w:szCs w:val="21"/>
        </w:rPr>
        <w:t>http://114.255.93.201/xzzx/</w:t>
      </w:r>
      <w:r w:rsidRPr="004E2D6B">
        <w:rPr>
          <w:rFonts w:ascii="Times New Roman" w:hAnsiTheme="minorEastAsia" w:cs="Times New Roman"/>
          <w:kern w:val="0"/>
          <w:szCs w:val="21"/>
        </w:rPr>
        <w:t>或</w:t>
      </w:r>
      <w:r w:rsidRPr="004E2D6B">
        <w:rPr>
          <w:rFonts w:ascii="Times New Roman" w:hAnsi="Times New Roman" w:cs="Times New Roman"/>
          <w:kern w:val="0"/>
          <w:szCs w:val="21"/>
        </w:rPr>
        <w:t>http://www.shfda.gov.cn/gb/node2/yjj/aqgz/n5290/u1ai49854.html</w:t>
      </w:r>
    </w:p>
    <w:sectPr w:rsidR="00824725" w:rsidRPr="004E2D6B" w:rsidSect="00A16711">
      <w:footerReference w:type="default" r:id="rId23"/>
      <w:headerReference w:type="first" r:id="rId24"/>
      <w:footerReference w:type="first" r:id="rId2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33" w:rsidRDefault="00DE3733" w:rsidP="006F5AA9">
      <w:r>
        <w:separator/>
      </w:r>
    </w:p>
  </w:endnote>
  <w:endnote w:type="continuationSeparator" w:id="0">
    <w:p w:rsidR="00DE3733" w:rsidRDefault="00DE3733" w:rsidP="006F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43" w:rsidRDefault="006258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D9" w:rsidRDefault="00BE7CD9" w:rsidP="00A16711">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11" w:rsidRDefault="00A16711" w:rsidP="00A16711">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764"/>
      <w:docPartObj>
        <w:docPartGallery w:val="Page Numbers (Bottom of Page)"/>
        <w:docPartUnique/>
      </w:docPartObj>
    </w:sdtPr>
    <w:sdtEndPr/>
    <w:sdtContent>
      <w:p w:rsidR="00A16711" w:rsidRDefault="00DE3733" w:rsidP="00A16711">
        <w:pPr>
          <w:pStyle w:val="a4"/>
          <w:jc w:val="center"/>
        </w:pPr>
        <w:r>
          <w:fldChar w:fldCharType="begin"/>
        </w:r>
        <w:r>
          <w:instrText xml:space="preserve"> PAGE   \* MERGEFORMAT </w:instrText>
        </w:r>
        <w:r>
          <w:fldChar w:fldCharType="separate"/>
        </w:r>
        <w:r w:rsidR="00483C77" w:rsidRPr="00483C77">
          <w:rPr>
            <w:noProof/>
            <w:lang w:val="zh-CN"/>
          </w:rPr>
          <w:t>2</w:t>
        </w:r>
        <w:r>
          <w:rPr>
            <w:noProof/>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773"/>
      <w:docPartObj>
        <w:docPartGallery w:val="Page Numbers (Bottom of Page)"/>
        <w:docPartUnique/>
      </w:docPartObj>
    </w:sdtPr>
    <w:sdtEndPr/>
    <w:sdtContent>
      <w:p w:rsidR="00A16711" w:rsidRDefault="00DE3733" w:rsidP="00A16711">
        <w:pPr>
          <w:pStyle w:val="a4"/>
          <w:jc w:val="center"/>
        </w:pPr>
        <w:r>
          <w:fldChar w:fldCharType="begin"/>
        </w:r>
        <w:r>
          <w:instrText xml:space="preserve"> PAGE   \* MERGEFORMAT </w:instrText>
        </w:r>
        <w:r>
          <w:fldChar w:fldCharType="separate"/>
        </w:r>
        <w:r w:rsidR="00483C77" w:rsidRPr="00483C77">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33" w:rsidRDefault="00DE3733" w:rsidP="006F5AA9">
      <w:r>
        <w:separator/>
      </w:r>
    </w:p>
  </w:footnote>
  <w:footnote w:type="continuationSeparator" w:id="0">
    <w:p w:rsidR="00DE3733" w:rsidRDefault="00DE3733" w:rsidP="006F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43" w:rsidRDefault="006258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11" w:rsidRDefault="00A16711">
    <w:pPr>
      <w:pStyle w:val="a3"/>
    </w:pPr>
    <w:r>
      <w:rPr>
        <w:rFonts w:hint="eastAsia"/>
      </w:rPr>
      <w:t>上海市医疗器械不良事件监测年度报告（</w:t>
    </w:r>
    <w:r>
      <w:rPr>
        <w:rFonts w:hint="eastAsia"/>
      </w:rPr>
      <w:t>2017</w:t>
    </w:r>
    <w:r>
      <w:rPr>
        <w:rFonts w:hint="eastAsia"/>
      </w:rPr>
      <w:t>年度公众版）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43" w:rsidRDefault="00625843" w:rsidP="006258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11" w:rsidRPr="00A16711" w:rsidRDefault="00A16711">
    <w:pPr>
      <w:pStyle w:val="a3"/>
    </w:pPr>
    <w:r>
      <w:rPr>
        <w:rFonts w:hint="eastAsia"/>
      </w:rPr>
      <w:t>上海市医疗器械不良事件监测年度报告（</w:t>
    </w:r>
    <w:r>
      <w:rPr>
        <w:rFonts w:hint="eastAsia"/>
      </w:rPr>
      <w:t>2017</w:t>
    </w:r>
    <w:r>
      <w:rPr>
        <w:rFonts w:hint="eastAsia"/>
      </w:rPr>
      <w:t>年度公众版）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12E8"/>
    <w:multiLevelType w:val="hybridMultilevel"/>
    <w:tmpl w:val="CEECDC86"/>
    <w:lvl w:ilvl="0" w:tplc="9EA6D5C6">
      <w:start w:val="1"/>
      <w:numFmt w:val="japaneseCounting"/>
      <w:lvlText w:val="%1、"/>
      <w:lvlJc w:val="left"/>
      <w:pPr>
        <w:ind w:left="360" w:hanging="360"/>
      </w:pPr>
      <w:rPr>
        <w:rFonts w:ascii="微软雅黑" w:eastAsia="微软雅黑" w:hAnsi="微软雅黑"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DE7D74"/>
    <w:multiLevelType w:val="hybridMultilevel"/>
    <w:tmpl w:val="9E70A7FE"/>
    <w:lvl w:ilvl="0" w:tplc="326494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5AA9"/>
    <w:rsid w:val="00031BE3"/>
    <w:rsid w:val="000432D3"/>
    <w:rsid w:val="00096AB6"/>
    <w:rsid w:val="000B2332"/>
    <w:rsid w:val="000B7F0D"/>
    <w:rsid w:val="000C2003"/>
    <w:rsid w:val="000E16A3"/>
    <w:rsid w:val="000E5E0D"/>
    <w:rsid w:val="0011471B"/>
    <w:rsid w:val="00127899"/>
    <w:rsid w:val="00132EB5"/>
    <w:rsid w:val="00142005"/>
    <w:rsid w:val="00147080"/>
    <w:rsid w:val="00152509"/>
    <w:rsid w:val="00183109"/>
    <w:rsid w:val="00184585"/>
    <w:rsid w:val="00187317"/>
    <w:rsid w:val="001A7E01"/>
    <w:rsid w:val="001E4137"/>
    <w:rsid w:val="002028C6"/>
    <w:rsid w:val="00211A2B"/>
    <w:rsid w:val="00214B7E"/>
    <w:rsid w:val="00232DCB"/>
    <w:rsid w:val="002379C8"/>
    <w:rsid w:val="00250F4E"/>
    <w:rsid w:val="00256FAB"/>
    <w:rsid w:val="0026338F"/>
    <w:rsid w:val="0026366A"/>
    <w:rsid w:val="002860D6"/>
    <w:rsid w:val="002C0D7F"/>
    <w:rsid w:val="002C5C65"/>
    <w:rsid w:val="002D0306"/>
    <w:rsid w:val="002E1C5C"/>
    <w:rsid w:val="002E5404"/>
    <w:rsid w:val="002E7508"/>
    <w:rsid w:val="002F09A9"/>
    <w:rsid w:val="0030021F"/>
    <w:rsid w:val="0031001C"/>
    <w:rsid w:val="003111E8"/>
    <w:rsid w:val="003325DB"/>
    <w:rsid w:val="00343686"/>
    <w:rsid w:val="003512C8"/>
    <w:rsid w:val="0035236A"/>
    <w:rsid w:val="00382BE4"/>
    <w:rsid w:val="003C33B0"/>
    <w:rsid w:val="003C4391"/>
    <w:rsid w:val="003E56A2"/>
    <w:rsid w:val="00412CB8"/>
    <w:rsid w:val="004216C5"/>
    <w:rsid w:val="0043228A"/>
    <w:rsid w:val="00457647"/>
    <w:rsid w:val="00471073"/>
    <w:rsid w:val="00474C95"/>
    <w:rsid w:val="00483C77"/>
    <w:rsid w:val="00484142"/>
    <w:rsid w:val="00497CA1"/>
    <w:rsid w:val="004A1066"/>
    <w:rsid w:val="004A76F9"/>
    <w:rsid w:val="004B0B55"/>
    <w:rsid w:val="004B2840"/>
    <w:rsid w:val="004E2D6B"/>
    <w:rsid w:val="00550F9A"/>
    <w:rsid w:val="005546A3"/>
    <w:rsid w:val="00557995"/>
    <w:rsid w:val="005962C4"/>
    <w:rsid w:val="005A6EC8"/>
    <w:rsid w:val="005B17F9"/>
    <w:rsid w:val="005C1303"/>
    <w:rsid w:val="005E5901"/>
    <w:rsid w:val="00615F19"/>
    <w:rsid w:val="00625843"/>
    <w:rsid w:val="00652EE7"/>
    <w:rsid w:val="00660D90"/>
    <w:rsid w:val="00683CE6"/>
    <w:rsid w:val="00684976"/>
    <w:rsid w:val="00684E29"/>
    <w:rsid w:val="0069746A"/>
    <w:rsid w:val="006B583C"/>
    <w:rsid w:val="006F5AA9"/>
    <w:rsid w:val="00722FFC"/>
    <w:rsid w:val="007231C3"/>
    <w:rsid w:val="00727228"/>
    <w:rsid w:val="00757BFF"/>
    <w:rsid w:val="00763A47"/>
    <w:rsid w:val="007A05C1"/>
    <w:rsid w:val="007C34B7"/>
    <w:rsid w:val="007D7A0C"/>
    <w:rsid w:val="008005ED"/>
    <w:rsid w:val="00824725"/>
    <w:rsid w:val="008264AC"/>
    <w:rsid w:val="00855E25"/>
    <w:rsid w:val="00865148"/>
    <w:rsid w:val="00865C69"/>
    <w:rsid w:val="00877EC5"/>
    <w:rsid w:val="00887CB6"/>
    <w:rsid w:val="008912B3"/>
    <w:rsid w:val="008A0E85"/>
    <w:rsid w:val="008D04BA"/>
    <w:rsid w:val="008F008A"/>
    <w:rsid w:val="008F1862"/>
    <w:rsid w:val="00914F96"/>
    <w:rsid w:val="009A164E"/>
    <w:rsid w:val="009B3AFE"/>
    <w:rsid w:val="009C3588"/>
    <w:rsid w:val="009C63B3"/>
    <w:rsid w:val="009D2918"/>
    <w:rsid w:val="00A16711"/>
    <w:rsid w:val="00A60C56"/>
    <w:rsid w:val="00A71F57"/>
    <w:rsid w:val="00AD30AA"/>
    <w:rsid w:val="00AE20A5"/>
    <w:rsid w:val="00AF322E"/>
    <w:rsid w:val="00B40FC7"/>
    <w:rsid w:val="00B75CDF"/>
    <w:rsid w:val="00BA43E1"/>
    <w:rsid w:val="00BA461E"/>
    <w:rsid w:val="00BB64FF"/>
    <w:rsid w:val="00BC5717"/>
    <w:rsid w:val="00BE7CD9"/>
    <w:rsid w:val="00BF0709"/>
    <w:rsid w:val="00BF10AA"/>
    <w:rsid w:val="00BF2228"/>
    <w:rsid w:val="00BF76AB"/>
    <w:rsid w:val="00C113CA"/>
    <w:rsid w:val="00C14028"/>
    <w:rsid w:val="00C2257B"/>
    <w:rsid w:val="00C264C6"/>
    <w:rsid w:val="00C42905"/>
    <w:rsid w:val="00C46CD7"/>
    <w:rsid w:val="00C471D8"/>
    <w:rsid w:val="00C63451"/>
    <w:rsid w:val="00C72298"/>
    <w:rsid w:val="00C813DD"/>
    <w:rsid w:val="00C93443"/>
    <w:rsid w:val="00C94F6B"/>
    <w:rsid w:val="00CB1F12"/>
    <w:rsid w:val="00CD6A60"/>
    <w:rsid w:val="00D135E8"/>
    <w:rsid w:val="00D254FF"/>
    <w:rsid w:val="00D55BB2"/>
    <w:rsid w:val="00D75700"/>
    <w:rsid w:val="00D807F8"/>
    <w:rsid w:val="00DA5F15"/>
    <w:rsid w:val="00DC78A8"/>
    <w:rsid w:val="00DD1B33"/>
    <w:rsid w:val="00DE0EB4"/>
    <w:rsid w:val="00DE3733"/>
    <w:rsid w:val="00E21818"/>
    <w:rsid w:val="00E65AF7"/>
    <w:rsid w:val="00E666BF"/>
    <w:rsid w:val="00E75C0B"/>
    <w:rsid w:val="00E91945"/>
    <w:rsid w:val="00E9740F"/>
    <w:rsid w:val="00EB0390"/>
    <w:rsid w:val="00EB1423"/>
    <w:rsid w:val="00EC50B9"/>
    <w:rsid w:val="00F05317"/>
    <w:rsid w:val="00F1627F"/>
    <w:rsid w:val="00F34071"/>
    <w:rsid w:val="00F50274"/>
    <w:rsid w:val="00F757BE"/>
    <w:rsid w:val="00FC4702"/>
    <w:rsid w:val="00FE301B"/>
    <w:rsid w:val="00FE3EFA"/>
    <w:rsid w:val="00FE3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AA9"/>
    <w:rPr>
      <w:sz w:val="18"/>
      <w:szCs w:val="18"/>
    </w:rPr>
  </w:style>
  <w:style w:type="paragraph" w:styleId="a4">
    <w:name w:val="footer"/>
    <w:basedOn w:val="a"/>
    <w:link w:val="Char0"/>
    <w:uiPriority w:val="99"/>
    <w:unhideWhenUsed/>
    <w:rsid w:val="006F5AA9"/>
    <w:pPr>
      <w:tabs>
        <w:tab w:val="center" w:pos="4153"/>
        <w:tab w:val="right" w:pos="8306"/>
      </w:tabs>
      <w:snapToGrid w:val="0"/>
      <w:jc w:val="left"/>
    </w:pPr>
    <w:rPr>
      <w:sz w:val="18"/>
      <w:szCs w:val="18"/>
    </w:rPr>
  </w:style>
  <w:style w:type="character" w:customStyle="1" w:styleId="Char0">
    <w:name w:val="页脚 Char"/>
    <w:basedOn w:val="a0"/>
    <w:link w:val="a4"/>
    <w:uiPriority w:val="99"/>
    <w:rsid w:val="006F5AA9"/>
    <w:rPr>
      <w:sz w:val="18"/>
      <w:szCs w:val="18"/>
    </w:rPr>
  </w:style>
  <w:style w:type="paragraph" w:styleId="a5">
    <w:name w:val="Normal (Web)"/>
    <w:basedOn w:val="a"/>
    <w:uiPriority w:val="99"/>
    <w:unhideWhenUsed/>
    <w:rsid w:val="006F5AA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5AA9"/>
    <w:rPr>
      <w:b/>
      <w:bCs/>
    </w:rPr>
  </w:style>
  <w:style w:type="paragraph" w:styleId="a7">
    <w:name w:val="Balloon Text"/>
    <w:basedOn w:val="a"/>
    <w:link w:val="Char1"/>
    <w:uiPriority w:val="99"/>
    <w:semiHidden/>
    <w:unhideWhenUsed/>
    <w:rsid w:val="006F5AA9"/>
    <w:rPr>
      <w:sz w:val="18"/>
      <w:szCs w:val="18"/>
    </w:rPr>
  </w:style>
  <w:style w:type="character" w:customStyle="1" w:styleId="Char1">
    <w:name w:val="批注框文本 Char"/>
    <w:basedOn w:val="a0"/>
    <w:link w:val="a7"/>
    <w:uiPriority w:val="99"/>
    <w:semiHidden/>
    <w:rsid w:val="006F5AA9"/>
    <w:rPr>
      <w:sz w:val="18"/>
      <w:szCs w:val="18"/>
    </w:rPr>
  </w:style>
  <w:style w:type="table" w:styleId="a8">
    <w:name w:val="Table Grid"/>
    <w:basedOn w:val="a1"/>
    <w:uiPriority w:val="59"/>
    <w:rsid w:val="00C1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C113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No Spacing"/>
    <w:uiPriority w:val="1"/>
    <w:qFormat/>
    <w:rsid w:val="00C113CA"/>
    <w:pPr>
      <w:widowControl w:val="0"/>
      <w:jc w:val="both"/>
    </w:pPr>
  </w:style>
  <w:style w:type="table" w:styleId="-1">
    <w:name w:val="Light Shading Accent 1"/>
    <w:basedOn w:val="a1"/>
    <w:uiPriority w:val="60"/>
    <w:rsid w:val="00D254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Document Map"/>
    <w:basedOn w:val="a"/>
    <w:link w:val="Char2"/>
    <w:uiPriority w:val="99"/>
    <w:semiHidden/>
    <w:unhideWhenUsed/>
    <w:rsid w:val="00214B7E"/>
    <w:rPr>
      <w:rFonts w:ascii="宋体" w:eastAsia="宋体"/>
      <w:sz w:val="18"/>
      <w:szCs w:val="18"/>
    </w:rPr>
  </w:style>
  <w:style w:type="character" w:customStyle="1" w:styleId="Char2">
    <w:name w:val="文档结构图 Char"/>
    <w:basedOn w:val="a0"/>
    <w:link w:val="ab"/>
    <w:uiPriority w:val="99"/>
    <w:semiHidden/>
    <w:rsid w:val="00214B7E"/>
    <w:rPr>
      <w:rFonts w:ascii="宋体" w:eastAsia="宋体"/>
      <w:sz w:val="18"/>
      <w:szCs w:val="18"/>
    </w:rPr>
  </w:style>
  <w:style w:type="paragraph" w:styleId="ac">
    <w:name w:val="caption"/>
    <w:basedOn w:val="a"/>
    <w:next w:val="a"/>
    <w:uiPriority w:val="35"/>
    <w:unhideWhenUsed/>
    <w:qFormat/>
    <w:rsid w:val="000C2003"/>
    <w:rPr>
      <w:rFonts w:asciiTheme="majorHAnsi" w:eastAsia="黑体" w:hAnsiTheme="majorHAnsi" w:cstheme="majorBidi"/>
      <w:sz w:val="20"/>
      <w:szCs w:val="20"/>
    </w:rPr>
  </w:style>
  <w:style w:type="paragraph" w:styleId="ad">
    <w:name w:val="Subtitle"/>
    <w:basedOn w:val="a"/>
    <w:next w:val="a"/>
    <w:link w:val="Char3"/>
    <w:qFormat/>
    <w:rsid w:val="00AF322E"/>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d"/>
    <w:rsid w:val="00AF322E"/>
    <w:rPr>
      <w:rFonts w:ascii="Cambria" w:eastAsia="宋体" w:hAnsi="Cambria" w:cs="Times New Roman"/>
      <w:b/>
      <w:bCs/>
      <w:kern w:val="28"/>
      <w:sz w:val="32"/>
      <w:szCs w:val="32"/>
    </w:rPr>
  </w:style>
  <w:style w:type="character" w:styleId="ae">
    <w:name w:val="Hyperlink"/>
    <w:basedOn w:val="a0"/>
    <w:uiPriority w:val="99"/>
    <w:semiHidden/>
    <w:unhideWhenUsed/>
    <w:rsid w:val="00AF322E"/>
    <w:rPr>
      <w:color w:val="0000FF"/>
      <w:u w:val="single"/>
    </w:rPr>
  </w:style>
  <w:style w:type="paragraph" w:styleId="af">
    <w:name w:val="List Paragraph"/>
    <w:basedOn w:val="a"/>
    <w:uiPriority w:val="34"/>
    <w:qFormat/>
    <w:rsid w:val="009B3A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AA9"/>
    <w:rPr>
      <w:sz w:val="18"/>
      <w:szCs w:val="18"/>
    </w:rPr>
  </w:style>
  <w:style w:type="paragraph" w:styleId="a4">
    <w:name w:val="footer"/>
    <w:basedOn w:val="a"/>
    <w:link w:val="Char0"/>
    <w:uiPriority w:val="99"/>
    <w:unhideWhenUsed/>
    <w:rsid w:val="006F5AA9"/>
    <w:pPr>
      <w:tabs>
        <w:tab w:val="center" w:pos="4153"/>
        <w:tab w:val="right" w:pos="8306"/>
      </w:tabs>
      <w:snapToGrid w:val="0"/>
      <w:jc w:val="left"/>
    </w:pPr>
    <w:rPr>
      <w:sz w:val="18"/>
      <w:szCs w:val="18"/>
    </w:rPr>
  </w:style>
  <w:style w:type="character" w:customStyle="1" w:styleId="Char0">
    <w:name w:val="页脚 Char"/>
    <w:basedOn w:val="a0"/>
    <w:link w:val="a4"/>
    <w:uiPriority w:val="99"/>
    <w:rsid w:val="006F5AA9"/>
    <w:rPr>
      <w:sz w:val="18"/>
      <w:szCs w:val="18"/>
    </w:rPr>
  </w:style>
  <w:style w:type="paragraph" w:styleId="a5">
    <w:name w:val="Normal (Web)"/>
    <w:basedOn w:val="a"/>
    <w:uiPriority w:val="99"/>
    <w:unhideWhenUsed/>
    <w:rsid w:val="006F5AA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5AA9"/>
    <w:rPr>
      <w:b/>
      <w:bCs/>
    </w:rPr>
  </w:style>
  <w:style w:type="paragraph" w:styleId="a7">
    <w:name w:val="Balloon Text"/>
    <w:basedOn w:val="a"/>
    <w:link w:val="Char1"/>
    <w:uiPriority w:val="99"/>
    <w:semiHidden/>
    <w:unhideWhenUsed/>
    <w:rsid w:val="006F5AA9"/>
    <w:rPr>
      <w:sz w:val="18"/>
      <w:szCs w:val="18"/>
    </w:rPr>
  </w:style>
  <w:style w:type="character" w:customStyle="1" w:styleId="Char1">
    <w:name w:val="批注框文本 Char"/>
    <w:basedOn w:val="a0"/>
    <w:link w:val="a7"/>
    <w:uiPriority w:val="99"/>
    <w:semiHidden/>
    <w:rsid w:val="006F5AA9"/>
    <w:rPr>
      <w:sz w:val="18"/>
      <w:szCs w:val="18"/>
    </w:rPr>
  </w:style>
  <w:style w:type="table" w:styleId="a8">
    <w:name w:val="Table Grid"/>
    <w:basedOn w:val="a1"/>
    <w:uiPriority w:val="59"/>
    <w:rsid w:val="00C1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C113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No Spacing"/>
    <w:uiPriority w:val="1"/>
    <w:qFormat/>
    <w:rsid w:val="00C113CA"/>
    <w:pPr>
      <w:widowControl w:val="0"/>
      <w:jc w:val="both"/>
    </w:pPr>
  </w:style>
  <w:style w:type="table" w:styleId="-1">
    <w:name w:val="Light Shading Accent 1"/>
    <w:basedOn w:val="a1"/>
    <w:uiPriority w:val="60"/>
    <w:rsid w:val="00D254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Document Map"/>
    <w:basedOn w:val="a"/>
    <w:link w:val="Char2"/>
    <w:uiPriority w:val="99"/>
    <w:semiHidden/>
    <w:unhideWhenUsed/>
    <w:rsid w:val="00214B7E"/>
    <w:rPr>
      <w:rFonts w:ascii="宋体" w:eastAsia="宋体"/>
      <w:sz w:val="18"/>
      <w:szCs w:val="18"/>
    </w:rPr>
  </w:style>
  <w:style w:type="character" w:customStyle="1" w:styleId="Char2">
    <w:name w:val="文档结构图 Char"/>
    <w:basedOn w:val="a0"/>
    <w:link w:val="ab"/>
    <w:uiPriority w:val="99"/>
    <w:semiHidden/>
    <w:rsid w:val="00214B7E"/>
    <w:rPr>
      <w:rFonts w:ascii="宋体" w:eastAsia="宋体"/>
      <w:sz w:val="18"/>
      <w:szCs w:val="18"/>
    </w:rPr>
  </w:style>
  <w:style w:type="paragraph" w:styleId="ac">
    <w:name w:val="caption"/>
    <w:basedOn w:val="a"/>
    <w:next w:val="a"/>
    <w:uiPriority w:val="35"/>
    <w:unhideWhenUsed/>
    <w:qFormat/>
    <w:rsid w:val="000C2003"/>
    <w:rPr>
      <w:rFonts w:asciiTheme="majorHAnsi" w:eastAsia="黑体" w:hAnsiTheme="majorHAnsi" w:cstheme="majorBidi"/>
      <w:sz w:val="20"/>
      <w:szCs w:val="20"/>
    </w:rPr>
  </w:style>
  <w:style w:type="paragraph" w:styleId="ad">
    <w:name w:val="Subtitle"/>
    <w:basedOn w:val="a"/>
    <w:next w:val="a"/>
    <w:link w:val="Char3"/>
    <w:qFormat/>
    <w:rsid w:val="00AF322E"/>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d"/>
    <w:rsid w:val="00AF322E"/>
    <w:rPr>
      <w:rFonts w:ascii="Cambria" w:eastAsia="宋体" w:hAnsi="Cambria" w:cs="Times New Roman"/>
      <w:b/>
      <w:bCs/>
      <w:kern w:val="28"/>
      <w:sz w:val="32"/>
      <w:szCs w:val="32"/>
    </w:rPr>
  </w:style>
  <w:style w:type="character" w:styleId="ae">
    <w:name w:val="Hyperlink"/>
    <w:basedOn w:val="a0"/>
    <w:uiPriority w:val="99"/>
    <w:semiHidden/>
    <w:unhideWhenUsed/>
    <w:rsid w:val="00AF322E"/>
    <w:rPr>
      <w:color w:val="0000FF"/>
      <w:u w:val="single"/>
    </w:rPr>
  </w:style>
  <w:style w:type="paragraph" w:styleId="af">
    <w:name w:val="List Paragraph"/>
    <w:basedOn w:val="a"/>
    <w:uiPriority w:val="34"/>
    <w:qFormat/>
    <w:rsid w:val="009B3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542">
      <w:bodyDiv w:val="1"/>
      <w:marLeft w:val="0"/>
      <w:marRight w:val="0"/>
      <w:marTop w:val="0"/>
      <w:marBottom w:val="0"/>
      <w:divBdr>
        <w:top w:val="none" w:sz="0" w:space="0" w:color="auto"/>
        <w:left w:val="none" w:sz="0" w:space="0" w:color="auto"/>
        <w:bottom w:val="none" w:sz="0" w:space="0" w:color="auto"/>
        <w:right w:val="none" w:sz="0" w:space="0" w:color="auto"/>
      </w:divBdr>
    </w:div>
    <w:div w:id="106315916">
      <w:bodyDiv w:val="1"/>
      <w:marLeft w:val="0"/>
      <w:marRight w:val="0"/>
      <w:marTop w:val="0"/>
      <w:marBottom w:val="0"/>
      <w:divBdr>
        <w:top w:val="none" w:sz="0" w:space="0" w:color="auto"/>
        <w:left w:val="none" w:sz="0" w:space="0" w:color="auto"/>
        <w:bottom w:val="none" w:sz="0" w:space="0" w:color="auto"/>
        <w:right w:val="none" w:sz="0" w:space="0" w:color="auto"/>
      </w:divBdr>
      <w:divsChild>
        <w:div w:id="960265138">
          <w:marLeft w:val="0"/>
          <w:marRight w:val="0"/>
          <w:marTop w:val="0"/>
          <w:marBottom w:val="0"/>
          <w:divBdr>
            <w:top w:val="none" w:sz="0" w:space="0" w:color="auto"/>
            <w:left w:val="none" w:sz="0" w:space="0" w:color="auto"/>
            <w:bottom w:val="none" w:sz="0" w:space="0" w:color="auto"/>
            <w:right w:val="none" w:sz="0" w:space="0" w:color="auto"/>
          </w:divBdr>
        </w:div>
      </w:divsChild>
    </w:div>
    <w:div w:id="114641322">
      <w:bodyDiv w:val="1"/>
      <w:marLeft w:val="0"/>
      <w:marRight w:val="0"/>
      <w:marTop w:val="0"/>
      <w:marBottom w:val="0"/>
      <w:divBdr>
        <w:top w:val="none" w:sz="0" w:space="0" w:color="auto"/>
        <w:left w:val="none" w:sz="0" w:space="0" w:color="auto"/>
        <w:bottom w:val="none" w:sz="0" w:space="0" w:color="auto"/>
        <w:right w:val="none" w:sz="0" w:space="0" w:color="auto"/>
      </w:divBdr>
    </w:div>
    <w:div w:id="126508675">
      <w:bodyDiv w:val="1"/>
      <w:marLeft w:val="0"/>
      <w:marRight w:val="0"/>
      <w:marTop w:val="0"/>
      <w:marBottom w:val="0"/>
      <w:divBdr>
        <w:top w:val="none" w:sz="0" w:space="0" w:color="auto"/>
        <w:left w:val="none" w:sz="0" w:space="0" w:color="auto"/>
        <w:bottom w:val="none" w:sz="0" w:space="0" w:color="auto"/>
        <w:right w:val="none" w:sz="0" w:space="0" w:color="auto"/>
      </w:divBdr>
    </w:div>
    <w:div w:id="128519275">
      <w:bodyDiv w:val="1"/>
      <w:marLeft w:val="0"/>
      <w:marRight w:val="0"/>
      <w:marTop w:val="0"/>
      <w:marBottom w:val="0"/>
      <w:divBdr>
        <w:top w:val="none" w:sz="0" w:space="0" w:color="auto"/>
        <w:left w:val="none" w:sz="0" w:space="0" w:color="auto"/>
        <w:bottom w:val="none" w:sz="0" w:space="0" w:color="auto"/>
        <w:right w:val="none" w:sz="0" w:space="0" w:color="auto"/>
      </w:divBdr>
      <w:divsChild>
        <w:div w:id="1488396224">
          <w:marLeft w:val="0"/>
          <w:marRight w:val="0"/>
          <w:marTop w:val="0"/>
          <w:marBottom w:val="0"/>
          <w:divBdr>
            <w:top w:val="none" w:sz="0" w:space="0" w:color="auto"/>
            <w:left w:val="none" w:sz="0" w:space="0" w:color="auto"/>
            <w:bottom w:val="none" w:sz="0" w:space="0" w:color="auto"/>
            <w:right w:val="none" w:sz="0" w:space="0" w:color="auto"/>
          </w:divBdr>
          <w:divsChild>
            <w:div w:id="78914798">
              <w:marLeft w:val="0"/>
              <w:marRight w:val="0"/>
              <w:marTop w:val="0"/>
              <w:marBottom w:val="0"/>
              <w:divBdr>
                <w:top w:val="none" w:sz="0" w:space="0" w:color="auto"/>
                <w:left w:val="none" w:sz="0" w:space="0" w:color="auto"/>
                <w:bottom w:val="none" w:sz="0" w:space="0" w:color="auto"/>
                <w:right w:val="none" w:sz="0" w:space="0" w:color="auto"/>
              </w:divBdr>
              <w:divsChild>
                <w:div w:id="482889290">
                  <w:marLeft w:val="0"/>
                  <w:marRight w:val="0"/>
                  <w:marTop w:val="0"/>
                  <w:marBottom w:val="0"/>
                  <w:divBdr>
                    <w:top w:val="none" w:sz="0" w:space="0" w:color="auto"/>
                    <w:left w:val="none" w:sz="0" w:space="0" w:color="auto"/>
                    <w:bottom w:val="none" w:sz="0" w:space="0" w:color="auto"/>
                    <w:right w:val="none" w:sz="0" w:space="0" w:color="auto"/>
                  </w:divBdr>
                  <w:divsChild>
                    <w:div w:id="1583635463">
                      <w:marLeft w:val="0"/>
                      <w:marRight w:val="0"/>
                      <w:marTop w:val="0"/>
                      <w:marBottom w:val="0"/>
                      <w:divBdr>
                        <w:top w:val="none" w:sz="0" w:space="0" w:color="auto"/>
                        <w:left w:val="none" w:sz="0" w:space="0" w:color="auto"/>
                        <w:bottom w:val="none" w:sz="0" w:space="0" w:color="auto"/>
                        <w:right w:val="none" w:sz="0" w:space="0" w:color="auto"/>
                      </w:divBdr>
                      <w:divsChild>
                        <w:div w:id="16717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7044">
      <w:bodyDiv w:val="1"/>
      <w:marLeft w:val="0"/>
      <w:marRight w:val="0"/>
      <w:marTop w:val="0"/>
      <w:marBottom w:val="0"/>
      <w:divBdr>
        <w:top w:val="none" w:sz="0" w:space="0" w:color="auto"/>
        <w:left w:val="none" w:sz="0" w:space="0" w:color="auto"/>
        <w:bottom w:val="none" w:sz="0" w:space="0" w:color="auto"/>
        <w:right w:val="none" w:sz="0" w:space="0" w:color="auto"/>
      </w:divBdr>
      <w:divsChild>
        <w:div w:id="1376348315">
          <w:marLeft w:val="0"/>
          <w:marRight w:val="0"/>
          <w:marTop w:val="0"/>
          <w:marBottom w:val="0"/>
          <w:divBdr>
            <w:top w:val="none" w:sz="0" w:space="0" w:color="auto"/>
            <w:left w:val="none" w:sz="0" w:space="0" w:color="auto"/>
            <w:bottom w:val="none" w:sz="0" w:space="0" w:color="auto"/>
            <w:right w:val="none" w:sz="0" w:space="0" w:color="auto"/>
          </w:divBdr>
        </w:div>
      </w:divsChild>
    </w:div>
    <w:div w:id="1285305692">
      <w:bodyDiv w:val="1"/>
      <w:marLeft w:val="0"/>
      <w:marRight w:val="0"/>
      <w:marTop w:val="0"/>
      <w:marBottom w:val="0"/>
      <w:divBdr>
        <w:top w:val="none" w:sz="0" w:space="0" w:color="auto"/>
        <w:left w:val="none" w:sz="0" w:space="0" w:color="auto"/>
        <w:bottom w:val="none" w:sz="0" w:space="0" w:color="auto"/>
        <w:right w:val="none" w:sz="0" w:space="0" w:color="auto"/>
      </w:divBdr>
    </w:div>
    <w:div w:id="1374235028">
      <w:bodyDiv w:val="1"/>
      <w:marLeft w:val="0"/>
      <w:marRight w:val="0"/>
      <w:marTop w:val="0"/>
      <w:marBottom w:val="0"/>
      <w:divBdr>
        <w:top w:val="none" w:sz="0" w:space="0" w:color="auto"/>
        <w:left w:val="none" w:sz="0" w:space="0" w:color="auto"/>
        <w:bottom w:val="none" w:sz="0" w:space="0" w:color="auto"/>
        <w:right w:val="none" w:sz="0" w:space="0" w:color="auto"/>
      </w:divBdr>
    </w:div>
    <w:div w:id="1427926330">
      <w:bodyDiv w:val="1"/>
      <w:marLeft w:val="0"/>
      <w:marRight w:val="0"/>
      <w:marTop w:val="0"/>
      <w:marBottom w:val="0"/>
      <w:divBdr>
        <w:top w:val="none" w:sz="0" w:space="0" w:color="auto"/>
        <w:left w:val="none" w:sz="0" w:space="0" w:color="auto"/>
        <w:bottom w:val="none" w:sz="0" w:space="0" w:color="auto"/>
        <w:right w:val="none" w:sz="0" w:space="0" w:color="auto"/>
      </w:divBdr>
      <w:divsChild>
        <w:div w:id="266352339">
          <w:marLeft w:val="0"/>
          <w:marRight w:val="0"/>
          <w:marTop w:val="0"/>
          <w:marBottom w:val="0"/>
          <w:divBdr>
            <w:top w:val="none" w:sz="0" w:space="0" w:color="auto"/>
            <w:left w:val="none" w:sz="0" w:space="0" w:color="auto"/>
            <w:bottom w:val="none" w:sz="0" w:space="0" w:color="auto"/>
            <w:right w:val="none" w:sz="0" w:space="0" w:color="auto"/>
          </w:divBdr>
        </w:div>
      </w:divsChild>
    </w:div>
    <w:div w:id="1595626258">
      <w:bodyDiv w:val="1"/>
      <w:marLeft w:val="0"/>
      <w:marRight w:val="0"/>
      <w:marTop w:val="0"/>
      <w:marBottom w:val="0"/>
      <w:divBdr>
        <w:top w:val="none" w:sz="0" w:space="0" w:color="auto"/>
        <w:left w:val="none" w:sz="0" w:space="0" w:color="auto"/>
        <w:bottom w:val="none" w:sz="0" w:space="0" w:color="auto"/>
        <w:right w:val="none" w:sz="0" w:space="0" w:color="auto"/>
      </w:divBdr>
      <w:divsChild>
        <w:div w:id="596789612">
          <w:marLeft w:val="0"/>
          <w:marRight w:val="0"/>
          <w:marTop w:val="0"/>
          <w:marBottom w:val="0"/>
          <w:divBdr>
            <w:top w:val="none" w:sz="0" w:space="0" w:color="auto"/>
            <w:left w:val="none" w:sz="0" w:space="0" w:color="auto"/>
            <w:bottom w:val="none" w:sz="0" w:space="0" w:color="auto"/>
            <w:right w:val="none" w:sz="0" w:space="0" w:color="auto"/>
          </w:divBdr>
        </w:div>
        <w:div w:id="1626891640">
          <w:marLeft w:val="0"/>
          <w:marRight w:val="0"/>
          <w:marTop w:val="0"/>
          <w:marBottom w:val="0"/>
          <w:divBdr>
            <w:top w:val="none" w:sz="0" w:space="0" w:color="auto"/>
            <w:left w:val="none" w:sz="0" w:space="0" w:color="auto"/>
            <w:bottom w:val="none" w:sz="0" w:space="0" w:color="auto"/>
            <w:right w:val="none" w:sz="0" w:space="0" w:color="auto"/>
          </w:divBdr>
        </w:div>
        <w:div w:id="1612518330">
          <w:marLeft w:val="0"/>
          <w:marRight w:val="0"/>
          <w:marTop w:val="0"/>
          <w:marBottom w:val="0"/>
          <w:divBdr>
            <w:top w:val="none" w:sz="0" w:space="0" w:color="auto"/>
            <w:left w:val="none" w:sz="0" w:space="0" w:color="auto"/>
            <w:bottom w:val="none" w:sz="0" w:space="0" w:color="auto"/>
            <w:right w:val="none" w:sz="0" w:space="0" w:color="auto"/>
          </w:divBdr>
        </w:div>
        <w:div w:id="1214654978">
          <w:marLeft w:val="0"/>
          <w:marRight w:val="0"/>
          <w:marTop w:val="0"/>
          <w:marBottom w:val="0"/>
          <w:divBdr>
            <w:top w:val="none" w:sz="0" w:space="0" w:color="auto"/>
            <w:left w:val="none" w:sz="0" w:space="0" w:color="auto"/>
            <w:bottom w:val="none" w:sz="0" w:space="0" w:color="auto"/>
            <w:right w:val="none" w:sz="0" w:space="0" w:color="auto"/>
          </w:divBdr>
        </w:div>
        <w:div w:id="713310274">
          <w:marLeft w:val="0"/>
          <w:marRight w:val="0"/>
          <w:marTop w:val="0"/>
          <w:marBottom w:val="0"/>
          <w:divBdr>
            <w:top w:val="none" w:sz="0" w:space="0" w:color="auto"/>
            <w:left w:val="none" w:sz="0" w:space="0" w:color="auto"/>
            <w:bottom w:val="none" w:sz="0" w:space="0" w:color="auto"/>
            <w:right w:val="none" w:sz="0" w:space="0" w:color="auto"/>
          </w:divBdr>
        </w:div>
        <w:div w:id="1008214117">
          <w:marLeft w:val="0"/>
          <w:marRight w:val="0"/>
          <w:marTop w:val="0"/>
          <w:marBottom w:val="0"/>
          <w:divBdr>
            <w:top w:val="none" w:sz="0" w:space="0" w:color="auto"/>
            <w:left w:val="none" w:sz="0" w:space="0" w:color="auto"/>
            <w:bottom w:val="none" w:sz="0" w:space="0" w:color="auto"/>
            <w:right w:val="none" w:sz="0" w:space="0" w:color="auto"/>
          </w:divBdr>
        </w:div>
        <w:div w:id="1487435736">
          <w:marLeft w:val="0"/>
          <w:marRight w:val="0"/>
          <w:marTop w:val="0"/>
          <w:marBottom w:val="0"/>
          <w:divBdr>
            <w:top w:val="none" w:sz="0" w:space="0" w:color="auto"/>
            <w:left w:val="none" w:sz="0" w:space="0" w:color="auto"/>
            <w:bottom w:val="none" w:sz="0" w:space="0" w:color="auto"/>
            <w:right w:val="none" w:sz="0" w:space="0" w:color="auto"/>
          </w:divBdr>
        </w:div>
        <w:div w:id="1267227854">
          <w:marLeft w:val="0"/>
          <w:marRight w:val="0"/>
          <w:marTop w:val="0"/>
          <w:marBottom w:val="0"/>
          <w:divBdr>
            <w:top w:val="none" w:sz="0" w:space="0" w:color="auto"/>
            <w:left w:val="none" w:sz="0" w:space="0" w:color="auto"/>
            <w:bottom w:val="none" w:sz="0" w:space="0" w:color="auto"/>
            <w:right w:val="none" w:sz="0" w:space="0" w:color="auto"/>
          </w:divBdr>
        </w:div>
        <w:div w:id="1885873805">
          <w:marLeft w:val="0"/>
          <w:marRight w:val="0"/>
          <w:marTop w:val="0"/>
          <w:marBottom w:val="0"/>
          <w:divBdr>
            <w:top w:val="none" w:sz="0" w:space="0" w:color="auto"/>
            <w:left w:val="none" w:sz="0" w:space="0" w:color="auto"/>
            <w:bottom w:val="none" w:sz="0" w:space="0" w:color="auto"/>
            <w:right w:val="none" w:sz="0" w:space="0" w:color="auto"/>
          </w:divBdr>
        </w:div>
        <w:div w:id="1995329626">
          <w:marLeft w:val="0"/>
          <w:marRight w:val="0"/>
          <w:marTop w:val="0"/>
          <w:marBottom w:val="0"/>
          <w:divBdr>
            <w:top w:val="none" w:sz="0" w:space="0" w:color="auto"/>
            <w:left w:val="none" w:sz="0" w:space="0" w:color="auto"/>
            <w:bottom w:val="none" w:sz="0" w:space="0" w:color="auto"/>
            <w:right w:val="none" w:sz="0" w:space="0" w:color="auto"/>
          </w:divBdr>
        </w:div>
        <w:div w:id="972052796">
          <w:marLeft w:val="0"/>
          <w:marRight w:val="0"/>
          <w:marTop w:val="0"/>
          <w:marBottom w:val="0"/>
          <w:divBdr>
            <w:top w:val="none" w:sz="0" w:space="0" w:color="auto"/>
            <w:left w:val="none" w:sz="0" w:space="0" w:color="auto"/>
            <w:bottom w:val="none" w:sz="0" w:space="0" w:color="auto"/>
            <w:right w:val="none" w:sz="0" w:space="0" w:color="auto"/>
          </w:divBdr>
        </w:div>
        <w:div w:id="2063598346">
          <w:marLeft w:val="0"/>
          <w:marRight w:val="0"/>
          <w:marTop w:val="0"/>
          <w:marBottom w:val="0"/>
          <w:divBdr>
            <w:top w:val="none" w:sz="0" w:space="0" w:color="auto"/>
            <w:left w:val="none" w:sz="0" w:space="0" w:color="auto"/>
            <w:bottom w:val="none" w:sz="0" w:space="0" w:color="auto"/>
            <w:right w:val="none" w:sz="0" w:space="0" w:color="auto"/>
          </w:divBdr>
        </w:div>
        <w:div w:id="751588796">
          <w:marLeft w:val="0"/>
          <w:marRight w:val="0"/>
          <w:marTop w:val="0"/>
          <w:marBottom w:val="0"/>
          <w:divBdr>
            <w:top w:val="none" w:sz="0" w:space="0" w:color="auto"/>
            <w:left w:val="none" w:sz="0" w:space="0" w:color="auto"/>
            <w:bottom w:val="none" w:sz="0" w:space="0" w:color="auto"/>
            <w:right w:val="none" w:sz="0" w:space="0" w:color="auto"/>
          </w:divBdr>
        </w:div>
        <w:div w:id="565989267">
          <w:marLeft w:val="0"/>
          <w:marRight w:val="0"/>
          <w:marTop w:val="0"/>
          <w:marBottom w:val="0"/>
          <w:divBdr>
            <w:top w:val="none" w:sz="0" w:space="0" w:color="auto"/>
            <w:left w:val="none" w:sz="0" w:space="0" w:color="auto"/>
            <w:bottom w:val="none" w:sz="0" w:space="0" w:color="auto"/>
            <w:right w:val="none" w:sz="0" w:space="0" w:color="auto"/>
          </w:divBdr>
        </w:div>
        <w:div w:id="1815102739">
          <w:marLeft w:val="0"/>
          <w:marRight w:val="0"/>
          <w:marTop w:val="0"/>
          <w:marBottom w:val="0"/>
          <w:divBdr>
            <w:top w:val="none" w:sz="0" w:space="0" w:color="auto"/>
            <w:left w:val="none" w:sz="0" w:space="0" w:color="auto"/>
            <w:bottom w:val="none" w:sz="0" w:space="0" w:color="auto"/>
            <w:right w:val="none" w:sz="0" w:space="0" w:color="auto"/>
          </w:divBdr>
        </w:div>
        <w:div w:id="2049909922">
          <w:marLeft w:val="0"/>
          <w:marRight w:val="0"/>
          <w:marTop w:val="0"/>
          <w:marBottom w:val="0"/>
          <w:divBdr>
            <w:top w:val="none" w:sz="0" w:space="0" w:color="auto"/>
            <w:left w:val="none" w:sz="0" w:space="0" w:color="auto"/>
            <w:bottom w:val="none" w:sz="0" w:space="0" w:color="auto"/>
            <w:right w:val="none" w:sz="0" w:space="0" w:color="auto"/>
          </w:divBdr>
        </w:div>
        <w:div w:id="1932659492">
          <w:marLeft w:val="0"/>
          <w:marRight w:val="0"/>
          <w:marTop w:val="0"/>
          <w:marBottom w:val="0"/>
          <w:divBdr>
            <w:top w:val="none" w:sz="0" w:space="0" w:color="auto"/>
            <w:left w:val="none" w:sz="0" w:space="0" w:color="auto"/>
            <w:bottom w:val="none" w:sz="0" w:space="0" w:color="auto"/>
            <w:right w:val="none" w:sz="0" w:space="0" w:color="auto"/>
          </w:divBdr>
        </w:div>
        <w:div w:id="1680036800">
          <w:marLeft w:val="0"/>
          <w:marRight w:val="0"/>
          <w:marTop w:val="0"/>
          <w:marBottom w:val="0"/>
          <w:divBdr>
            <w:top w:val="none" w:sz="0" w:space="0" w:color="auto"/>
            <w:left w:val="none" w:sz="0" w:space="0" w:color="auto"/>
            <w:bottom w:val="none" w:sz="0" w:space="0" w:color="auto"/>
            <w:right w:val="none" w:sz="0" w:space="0" w:color="auto"/>
          </w:divBdr>
        </w:div>
        <w:div w:id="472913141">
          <w:marLeft w:val="0"/>
          <w:marRight w:val="0"/>
          <w:marTop w:val="0"/>
          <w:marBottom w:val="0"/>
          <w:divBdr>
            <w:top w:val="none" w:sz="0" w:space="0" w:color="auto"/>
            <w:left w:val="none" w:sz="0" w:space="0" w:color="auto"/>
            <w:bottom w:val="none" w:sz="0" w:space="0" w:color="auto"/>
            <w:right w:val="none" w:sz="0" w:space="0" w:color="auto"/>
          </w:divBdr>
        </w:div>
        <w:div w:id="442384277">
          <w:marLeft w:val="0"/>
          <w:marRight w:val="0"/>
          <w:marTop w:val="0"/>
          <w:marBottom w:val="0"/>
          <w:divBdr>
            <w:top w:val="none" w:sz="0" w:space="0" w:color="auto"/>
            <w:left w:val="none" w:sz="0" w:space="0" w:color="auto"/>
            <w:bottom w:val="none" w:sz="0" w:space="0" w:color="auto"/>
            <w:right w:val="none" w:sz="0" w:space="0" w:color="auto"/>
          </w:divBdr>
        </w:div>
      </w:divsChild>
    </w:div>
    <w:div w:id="1596744052">
      <w:bodyDiv w:val="1"/>
      <w:marLeft w:val="0"/>
      <w:marRight w:val="0"/>
      <w:marTop w:val="0"/>
      <w:marBottom w:val="0"/>
      <w:divBdr>
        <w:top w:val="none" w:sz="0" w:space="0" w:color="auto"/>
        <w:left w:val="none" w:sz="0" w:space="0" w:color="auto"/>
        <w:bottom w:val="none" w:sz="0" w:space="0" w:color="auto"/>
        <w:right w:val="none" w:sz="0" w:space="0" w:color="auto"/>
      </w:divBdr>
    </w:div>
    <w:div w:id="2106999744">
      <w:bodyDiv w:val="1"/>
      <w:marLeft w:val="0"/>
      <w:marRight w:val="0"/>
      <w:marTop w:val="0"/>
      <w:marBottom w:val="0"/>
      <w:divBdr>
        <w:top w:val="none" w:sz="0" w:space="0" w:color="auto"/>
        <w:left w:val="none" w:sz="0" w:space="0" w:color="auto"/>
        <w:bottom w:val="none" w:sz="0" w:space="0" w:color="auto"/>
        <w:right w:val="none" w:sz="0" w:space="0" w:color="auto"/>
      </w:divBdr>
      <w:divsChild>
        <w:div w:id="131028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5253;&#21578;_2017&#24180;&#24230;&#25253;&#21578;\2017MDR-7278&#202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r\Desktop\2017&#32479;&#357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r\Desktop\2017&#32479;&#357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r\Desktop\2017&#32479;&#357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5253;&#21578;_2017&#24180;&#24230;&#25253;&#21578;\2017MDR-7278&#202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r\Desktop\2017&#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chemeClr val="accent2">
                  <a:lumMod val="75000"/>
                </a:schemeClr>
              </a:solidFill>
            </a:ln>
          </c:spPr>
          <c:marker>
            <c:symbol val="triangle"/>
            <c:size val="5"/>
            <c:spPr>
              <a:ln>
                <a:solidFill>
                  <a:schemeClr val="accent2">
                    <a:lumMod val="75000"/>
                  </a:schemeClr>
                </a:solidFill>
              </a:ln>
            </c:spPr>
          </c:marker>
          <c:dLbls>
            <c:dLblPos val="t"/>
            <c:showLegendKey val="0"/>
            <c:showVal val="1"/>
            <c:showCatName val="0"/>
            <c:showSerName val="0"/>
            <c:showPercent val="0"/>
            <c:showBubbleSize val="0"/>
            <c:showLeaderLines val="0"/>
          </c:dLbls>
          <c:cat>
            <c:strRef>
              <c:f>Sheet3!$A$1:$A$15</c:f>
              <c:strCache>
                <c:ptCount val="15"/>
                <c:pt idx="0">
                  <c:v>2003年</c:v>
                </c:pt>
                <c:pt idx="1">
                  <c:v>2004年</c:v>
                </c:pt>
                <c:pt idx="2">
                  <c:v>2005年</c:v>
                </c:pt>
                <c:pt idx="3">
                  <c:v>2006年</c:v>
                </c:pt>
                <c:pt idx="4">
                  <c:v>2007年</c:v>
                </c:pt>
                <c:pt idx="5">
                  <c:v>2008年</c:v>
                </c:pt>
                <c:pt idx="6">
                  <c:v>2009年</c:v>
                </c:pt>
                <c:pt idx="7">
                  <c:v>2010年</c:v>
                </c:pt>
                <c:pt idx="8">
                  <c:v>2011年</c:v>
                </c:pt>
                <c:pt idx="9">
                  <c:v>2012年</c:v>
                </c:pt>
                <c:pt idx="10">
                  <c:v>2013年</c:v>
                </c:pt>
                <c:pt idx="11">
                  <c:v>2014年</c:v>
                </c:pt>
                <c:pt idx="12">
                  <c:v>2015年</c:v>
                </c:pt>
                <c:pt idx="13">
                  <c:v>2016年</c:v>
                </c:pt>
                <c:pt idx="14">
                  <c:v>2017年</c:v>
                </c:pt>
              </c:strCache>
            </c:strRef>
          </c:cat>
          <c:val>
            <c:numRef>
              <c:f>Sheet3!$B$1:$B$15</c:f>
              <c:numCache>
                <c:formatCode>General</c:formatCode>
                <c:ptCount val="15"/>
                <c:pt idx="0">
                  <c:v>79</c:v>
                </c:pt>
                <c:pt idx="1">
                  <c:v>62</c:v>
                </c:pt>
                <c:pt idx="2">
                  <c:v>248</c:v>
                </c:pt>
                <c:pt idx="3">
                  <c:v>399</c:v>
                </c:pt>
                <c:pt idx="4">
                  <c:v>351</c:v>
                </c:pt>
                <c:pt idx="5">
                  <c:v>304</c:v>
                </c:pt>
                <c:pt idx="6">
                  <c:v>599</c:v>
                </c:pt>
                <c:pt idx="7">
                  <c:v>591</c:v>
                </c:pt>
                <c:pt idx="8">
                  <c:v>698</c:v>
                </c:pt>
                <c:pt idx="9">
                  <c:v>1126</c:v>
                </c:pt>
                <c:pt idx="10">
                  <c:v>1632</c:v>
                </c:pt>
                <c:pt idx="11">
                  <c:v>1709</c:v>
                </c:pt>
                <c:pt idx="12">
                  <c:v>3182</c:v>
                </c:pt>
                <c:pt idx="13">
                  <c:v>5196</c:v>
                </c:pt>
                <c:pt idx="14">
                  <c:v>7278</c:v>
                </c:pt>
              </c:numCache>
            </c:numRef>
          </c:val>
          <c:smooth val="0"/>
        </c:ser>
        <c:dLbls>
          <c:showLegendKey val="0"/>
          <c:showVal val="0"/>
          <c:showCatName val="0"/>
          <c:showSerName val="0"/>
          <c:showPercent val="0"/>
          <c:showBubbleSize val="0"/>
        </c:dLbls>
        <c:marker val="1"/>
        <c:smooth val="0"/>
        <c:axId val="155821184"/>
        <c:axId val="155822720"/>
      </c:lineChart>
      <c:catAx>
        <c:axId val="155821184"/>
        <c:scaling>
          <c:orientation val="minMax"/>
        </c:scaling>
        <c:delete val="0"/>
        <c:axPos val="b"/>
        <c:numFmt formatCode="General" sourceLinked="1"/>
        <c:majorTickMark val="out"/>
        <c:minorTickMark val="none"/>
        <c:tickLblPos val="nextTo"/>
        <c:txPr>
          <a:bodyPr rot="-2700000"/>
          <a:lstStyle/>
          <a:p>
            <a:pPr>
              <a:defRPr/>
            </a:pPr>
            <a:endParaRPr lang="zh-CN"/>
          </a:p>
        </c:txPr>
        <c:crossAx val="155822720"/>
        <c:crosses val="autoZero"/>
        <c:auto val="1"/>
        <c:lblAlgn val="ctr"/>
        <c:lblOffset val="100"/>
        <c:noMultiLvlLbl val="0"/>
      </c:catAx>
      <c:valAx>
        <c:axId val="155822720"/>
        <c:scaling>
          <c:orientation val="minMax"/>
        </c:scaling>
        <c:delete val="0"/>
        <c:axPos val="l"/>
        <c:majorGridlines/>
        <c:numFmt formatCode="General" sourceLinked="1"/>
        <c:majorTickMark val="out"/>
        <c:minorTickMark val="none"/>
        <c:tickLblPos val="nextTo"/>
        <c:crossAx val="155821184"/>
        <c:crosses val="autoZero"/>
        <c:crossBetween val="between"/>
      </c:valAx>
      <c:spPr>
        <a:solidFill>
          <a:schemeClr val="tx2">
            <a:lumMod val="40000"/>
            <a:lumOff val="6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Pos val="inEnd"/>
            <c:showLegendKey val="0"/>
            <c:showVal val="1"/>
            <c:showCatName val="0"/>
            <c:showSerName val="0"/>
            <c:showPercent val="0"/>
            <c:showBubbleSize val="0"/>
            <c:showLeaderLines val="0"/>
          </c:dLbls>
          <c:cat>
            <c:strRef>
              <c:f>Sheet1!$A$1:$A$3</c:f>
              <c:strCache>
                <c:ptCount val="3"/>
                <c:pt idx="0">
                  <c:v>2015年</c:v>
                </c:pt>
                <c:pt idx="1">
                  <c:v>2016年</c:v>
                </c:pt>
                <c:pt idx="2">
                  <c:v>2017年</c:v>
                </c:pt>
              </c:strCache>
            </c:strRef>
          </c:cat>
          <c:val>
            <c:numRef>
              <c:f>Sheet1!$B$1:$B$3</c:f>
              <c:numCache>
                <c:formatCode>General</c:formatCode>
                <c:ptCount val="3"/>
                <c:pt idx="0">
                  <c:v>132</c:v>
                </c:pt>
                <c:pt idx="1">
                  <c:v>219</c:v>
                </c:pt>
                <c:pt idx="2">
                  <c:v>300</c:v>
                </c:pt>
              </c:numCache>
            </c:numRef>
          </c:val>
        </c:ser>
        <c:dLbls>
          <c:showLegendKey val="0"/>
          <c:showVal val="1"/>
          <c:showCatName val="0"/>
          <c:showSerName val="0"/>
          <c:showPercent val="0"/>
          <c:showBubbleSize val="0"/>
        </c:dLbls>
        <c:gapWidth val="150"/>
        <c:overlap val="100"/>
        <c:axId val="155833472"/>
        <c:axId val="155836416"/>
      </c:barChart>
      <c:catAx>
        <c:axId val="155833472"/>
        <c:scaling>
          <c:orientation val="minMax"/>
        </c:scaling>
        <c:delete val="0"/>
        <c:axPos val="b"/>
        <c:majorTickMark val="out"/>
        <c:minorTickMark val="none"/>
        <c:tickLblPos val="nextTo"/>
        <c:crossAx val="155836416"/>
        <c:crosses val="autoZero"/>
        <c:auto val="1"/>
        <c:lblAlgn val="ctr"/>
        <c:lblOffset val="100"/>
        <c:noMultiLvlLbl val="0"/>
      </c:catAx>
      <c:valAx>
        <c:axId val="155836416"/>
        <c:scaling>
          <c:orientation val="minMax"/>
        </c:scaling>
        <c:delete val="0"/>
        <c:axPos val="l"/>
        <c:majorGridlines/>
        <c:numFmt formatCode="General" sourceLinked="1"/>
        <c:majorTickMark val="out"/>
        <c:minorTickMark val="none"/>
        <c:tickLblPos val="nextTo"/>
        <c:crossAx val="155833472"/>
        <c:crosses val="autoZero"/>
        <c:crossBetween val="between"/>
      </c:valAx>
      <c:spPr>
        <a:ln>
          <a:noFill/>
        </a:ln>
      </c:spPr>
    </c:plotArea>
    <c:plotVisOnly val="1"/>
    <c:dispBlanksAs val="gap"/>
    <c:showDLblsOverMax val="0"/>
  </c:chart>
  <c:spPr>
    <a:ln>
      <a:solidFill>
        <a:schemeClr val="tx1"/>
      </a:solidFill>
    </a:ln>
  </c:spPr>
  <c:txPr>
    <a:bodyPr/>
    <a:lstStyle/>
    <a:p>
      <a:pPr>
        <a:defRPr>
          <a:latin typeface="Times New Roman" pitchFamily="18" charset="0"/>
          <a:ea typeface="+mn-ea"/>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55555555555"/>
          <c:y val="0.18750000000000033"/>
          <c:w val="0.41944444444444512"/>
          <c:h val="0.69907407407407596"/>
        </c:manualLayout>
      </c:layout>
      <c:pieChart>
        <c:varyColors val="1"/>
        <c:ser>
          <c:idx val="0"/>
          <c:order val="0"/>
          <c:dPt>
            <c:idx val="0"/>
            <c:bubble3D val="0"/>
            <c:spPr>
              <a:solidFill>
                <a:schemeClr val="accent5">
                  <a:lumMod val="20000"/>
                  <a:lumOff val="80000"/>
                </a:schemeClr>
              </a:solidFill>
            </c:spPr>
          </c:dPt>
          <c:dPt>
            <c:idx val="1"/>
            <c:bubble3D val="0"/>
            <c:spPr>
              <a:solidFill>
                <a:schemeClr val="accent5">
                  <a:lumMod val="60000"/>
                  <a:lumOff val="40000"/>
                </a:schemeClr>
              </a:solidFill>
            </c:spPr>
          </c:dPt>
          <c:dPt>
            <c:idx val="2"/>
            <c:bubble3D val="0"/>
            <c:spPr>
              <a:solidFill>
                <a:schemeClr val="tx2">
                  <a:lumMod val="60000"/>
                  <a:lumOff val="40000"/>
                </a:schemeClr>
              </a:solidFill>
            </c:spPr>
          </c:dPt>
          <c:dLbls>
            <c:dLbl>
              <c:idx val="0"/>
              <c:layout>
                <c:manualLayout>
                  <c:x val="-0.16832195975503061"/>
                  <c:y val="-3.5879629629629761E-2"/>
                </c:manualLayout>
              </c:layout>
              <c:showLegendKey val="0"/>
              <c:showVal val="1"/>
              <c:showCatName val="1"/>
              <c:showSerName val="0"/>
              <c:showPercent val="1"/>
              <c:showBubbleSize val="0"/>
            </c:dLbl>
            <c:dLbl>
              <c:idx val="1"/>
              <c:layout>
                <c:manualLayout>
                  <c:x val="8.6910104986876666E-2"/>
                  <c:y val="3.5850102070574638E-2"/>
                </c:manualLayout>
              </c:layout>
              <c:showLegendKey val="0"/>
              <c:showVal val="1"/>
              <c:showCatName val="1"/>
              <c:showSerName val="0"/>
              <c:showPercent val="1"/>
              <c:showBubbleSize val="0"/>
            </c:dLbl>
            <c:dLbl>
              <c:idx val="2"/>
              <c:layout>
                <c:manualLayout>
                  <c:x val="0.1416680883639545"/>
                  <c:y val="-0.24937190142898805"/>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Sheet1!$N$1:$N$3</c:f>
              <c:strCache>
                <c:ptCount val="3"/>
                <c:pt idx="0">
                  <c:v>生产企业</c:v>
                </c:pt>
                <c:pt idx="1">
                  <c:v>使用单位</c:v>
                </c:pt>
                <c:pt idx="2">
                  <c:v>经营企业</c:v>
                </c:pt>
              </c:strCache>
            </c:strRef>
          </c:cat>
          <c:val>
            <c:numRef>
              <c:f>Sheet1!$O$1:$O$3</c:f>
              <c:numCache>
                <c:formatCode>General</c:formatCode>
                <c:ptCount val="3"/>
                <c:pt idx="0">
                  <c:v>1218</c:v>
                </c:pt>
                <c:pt idx="1">
                  <c:v>1103</c:v>
                </c:pt>
                <c:pt idx="2">
                  <c:v>15972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solidFill>
        <a:schemeClr val="tx1"/>
      </a:solid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55555555555"/>
          <c:y val="0.21064814814814847"/>
          <c:w val="0.40555555555555556"/>
          <c:h val="0.67592592592592593"/>
        </c:manualLayout>
      </c:layout>
      <c:pieChart>
        <c:varyColors val="1"/>
        <c:ser>
          <c:idx val="0"/>
          <c:order val="0"/>
          <c:dPt>
            <c:idx val="1"/>
            <c:bubble3D val="0"/>
            <c:spPr>
              <a:solidFill>
                <a:srgbClr val="00B0F0"/>
              </a:solidFill>
            </c:spPr>
          </c:dPt>
          <c:dPt>
            <c:idx val="2"/>
            <c:bubble3D val="0"/>
            <c:spPr>
              <a:solidFill>
                <a:schemeClr val="accent5">
                  <a:lumMod val="40000"/>
                  <a:lumOff val="60000"/>
                </a:schemeClr>
              </a:solidFill>
            </c:spPr>
          </c:dPt>
          <c:dLbls>
            <c:dLbl>
              <c:idx val="0"/>
              <c:layout>
                <c:manualLayout>
                  <c:x val="3.8493328958880142E-2"/>
                  <c:y val="-4.0903324584426984E-2"/>
                </c:manualLayout>
              </c:layout>
              <c:showLegendKey val="0"/>
              <c:showVal val="1"/>
              <c:showCatName val="1"/>
              <c:showSerName val="0"/>
              <c:showPercent val="1"/>
              <c:showBubbleSize val="0"/>
            </c:dLbl>
            <c:dLbl>
              <c:idx val="1"/>
              <c:layout>
                <c:manualLayout>
                  <c:x val="7.1066163604549426E-2"/>
                  <c:y val="-8.9960629921260141E-3"/>
                </c:manualLayout>
              </c:layout>
              <c:showLegendKey val="0"/>
              <c:showVal val="1"/>
              <c:showCatName val="1"/>
              <c:showSerName val="0"/>
              <c:showPercent val="1"/>
              <c:showBubbleSize val="0"/>
            </c:dLbl>
            <c:dLbl>
              <c:idx val="2"/>
              <c:layout>
                <c:manualLayout>
                  <c:x val="-6.0329943132108502E-2"/>
                  <c:y val="-8.819590259550931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Sheet1!$C$44:$C$46</c:f>
              <c:strCache>
                <c:ptCount val="3"/>
                <c:pt idx="0">
                  <c:v>经营企业</c:v>
                </c:pt>
                <c:pt idx="1">
                  <c:v>生产企业</c:v>
                </c:pt>
                <c:pt idx="2">
                  <c:v>使用单位</c:v>
                </c:pt>
              </c:strCache>
            </c:strRef>
          </c:cat>
          <c:val>
            <c:numRef>
              <c:f>Sheet1!$D$44:$D$46</c:f>
              <c:numCache>
                <c:formatCode>General</c:formatCode>
                <c:ptCount val="3"/>
                <c:pt idx="0">
                  <c:v>654</c:v>
                </c:pt>
                <c:pt idx="1">
                  <c:v>3740</c:v>
                </c:pt>
                <c:pt idx="2">
                  <c:v>2884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solidFill>
        <a:schemeClr val="tx1"/>
      </a:solid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Sheet1!$C$61</c:f>
              <c:strCache>
                <c:ptCount val="1"/>
                <c:pt idx="0">
                  <c:v>2015年</c:v>
                </c:pt>
              </c:strCache>
            </c:strRef>
          </c:tx>
          <c:invertIfNegative val="0"/>
          <c:dLbls>
            <c:showLegendKey val="0"/>
            <c:showVal val="1"/>
            <c:showCatName val="0"/>
            <c:showSerName val="0"/>
            <c:showPercent val="0"/>
            <c:showBubbleSize val="0"/>
            <c:showLeaderLines val="0"/>
          </c:dLbls>
          <c:cat>
            <c:strRef>
              <c:f>Sheet1!$D$60:$G$60</c:f>
              <c:strCache>
                <c:ptCount val="4"/>
                <c:pt idx="0">
                  <c:v>生产企业</c:v>
                </c:pt>
                <c:pt idx="1">
                  <c:v>经营企业</c:v>
                </c:pt>
                <c:pt idx="2">
                  <c:v>使用单位</c:v>
                </c:pt>
                <c:pt idx="3">
                  <c:v>个人</c:v>
                </c:pt>
              </c:strCache>
            </c:strRef>
          </c:cat>
          <c:val>
            <c:numRef>
              <c:f>Sheet1!$D$61:$G$61</c:f>
              <c:numCache>
                <c:formatCode>General</c:formatCode>
                <c:ptCount val="4"/>
                <c:pt idx="0">
                  <c:v>1700</c:v>
                </c:pt>
                <c:pt idx="1">
                  <c:v>358</c:v>
                </c:pt>
                <c:pt idx="2">
                  <c:v>1137</c:v>
                </c:pt>
                <c:pt idx="3">
                  <c:v>1</c:v>
                </c:pt>
              </c:numCache>
            </c:numRef>
          </c:val>
        </c:ser>
        <c:ser>
          <c:idx val="1"/>
          <c:order val="1"/>
          <c:tx>
            <c:strRef>
              <c:f>Sheet1!$C$62</c:f>
              <c:strCache>
                <c:ptCount val="1"/>
                <c:pt idx="0">
                  <c:v>2016年</c:v>
                </c:pt>
              </c:strCache>
            </c:strRef>
          </c:tx>
          <c:spPr>
            <a:solidFill>
              <a:srgbClr val="00B0F0"/>
            </a:solidFill>
          </c:spPr>
          <c:invertIfNegative val="0"/>
          <c:dLbls>
            <c:dLbl>
              <c:idx val="1"/>
              <c:layout>
                <c:manualLayout>
                  <c:x val="0"/>
                  <c:y val="-1.388888888888899E-2"/>
                </c:manualLayout>
              </c:layout>
              <c:showLegendKey val="0"/>
              <c:showVal val="1"/>
              <c:showCatName val="0"/>
              <c:showSerName val="0"/>
              <c:showPercent val="0"/>
              <c:showBubbleSize val="0"/>
            </c:dLbl>
            <c:dLbl>
              <c:idx val="2"/>
              <c:layout>
                <c:manualLayout>
                  <c:x val="-1.111111111111112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Sheet1!$D$60:$G$60</c:f>
              <c:strCache>
                <c:ptCount val="4"/>
                <c:pt idx="0">
                  <c:v>生产企业</c:v>
                </c:pt>
                <c:pt idx="1">
                  <c:v>经营企业</c:v>
                </c:pt>
                <c:pt idx="2">
                  <c:v>使用单位</c:v>
                </c:pt>
                <c:pt idx="3">
                  <c:v>个人</c:v>
                </c:pt>
              </c:strCache>
            </c:strRef>
          </c:cat>
          <c:val>
            <c:numRef>
              <c:f>Sheet1!$D$62:$G$62</c:f>
              <c:numCache>
                <c:formatCode>General</c:formatCode>
                <c:ptCount val="4"/>
                <c:pt idx="0">
                  <c:v>2385</c:v>
                </c:pt>
                <c:pt idx="1">
                  <c:v>614</c:v>
                </c:pt>
                <c:pt idx="2">
                  <c:v>2320</c:v>
                </c:pt>
                <c:pt idx="3">
                  <c:v>0</c:v>
                </c:pt>
              </c:numCache>
            </c:numRef>
          </c:val>
        </c:ser>
        <c:ser>
          <c:idx val="2"/>
          <c:order val="2"/>
          <c:tx>
            <c:strRef>
              <c:f>Sheet1!$C$63</c:f>
              <c:strCache>
                <c:ptCount val="1"/>
                <c:pt idx="0">
                  <c:v>2017年</c:v>
                </c:pt>
              </c:strCache>
            </c:strRef>
          </c:tx>
          <c:spPr>
            <a:solidFill>
              <a:schemeClr val="accent5">
                <a:lumMod val="20000"/>
                <a:lumOff val="80000"/>
              </a:schemeClr>
            </a:solidFill>
          </c:spPr>
          <c:invertIfNegative val="0"/>
          <c:dLbls>
            <c:dLbl>
              <c:idx val="1"/>
              <c:layout>
                <c:manualLayout>
                  <c:x val="2.500000000000005E-2"/>
                  <c:y val="-1.3888888888888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Sheet1!$D$60:$G$60</c:f>
              <c:strCache>
                <c:ptCount val="4"/>
                <c:pt idx="0">
                  <c:v>生产企业</c:v>
                </c:pt>
                <c:pt idx="1">
                  <c:v>经营企业</c:v>
                </c:pt>
                <c:pt idx="2">
                  <c:v>使用单位</c:v>
                </c:pt>
                <c:pt idx="3">
                  <c:v>个人</c:v>
                </c:pt>
              </c:strCache>
            </c:strRef>
          </c:cat>
          <c:val>
            <c:numRef>
              <c:f>Sheet1!$D$63:$G$63</c:f>
              <c:numCache>
                <c:formatCode>General</c:formatCode>
                <c:ptCount val="4"/>
                <c:pt idx="0">
                  <c:v>3740</c:v>
                </c:pt>
                <c:pt idx="1">
                  <c:v>654</c:v>
                </c:pt>
                <c:pt idx="2">
                  <c:v>2884</c:v>
                </c:pt>
                <c:pt idx="3">
                  <c:v>0</c:v>
                </c:pt>
              </c:numCache>
            </c:numRef>
          </c:val>
        </c:ser>
        <c:dLbls>
          <c:showLegendKey val="0"/>
          <c:showVal val="0"/>
          <c:showCatName val="0"/>
          <c:showSerName val="0"/>
          <c:showPercent val="0"/>
          <c:showBubbleSize val="0"/>
        </c:dLbls>
        <c:gapWidth val="150"/>
        <c:shape val="box"/>
        <c:axId val="235889024"/>
        <c:axId val="235890560"/>
        <c:axId val="0"/>
      </c:bar3DChart>
      <c:catAx>
        <c:axId val="235889024"/>
        <c:scaling>
          <c:orientation val="minMax"/>
        </c:scaling>
        <c:delete val="0"/>
        <c:axPos val="b"/>
        <c:majorTickMark val="out"/>
        <c:minorTickMark val="none"/>
        <c:tickLblPos val="nextTo"/>
        <c:crossAx val="235890560"/>
        <c:crosses val="autoZero"/>
        <c:auto val="1"/>
        <c:lblAlgn val="ctr"/>
        <c:lblOffset val="100"/>
        <c:noMultiLvlLbl val="0"/>
      </c:catAx>
      <c:valAx>
        <c:axId val="235890560"/>
        <c:scaling>
          <c:orientation val="minMax"/>
        </c:scaling>
        <c:delete val="0"/>
        <c:axPos val="l"/>
        <c:majorGridlines/>
        <c:numFmt formatCode="General" sourceLinked="1"/>
        <c:majorTickMark val="out"/>
        <c:minorTickMark val="none"/>
        <c:tickLblPos val="nextTo"/>
        <c:crossAx val="235889024"/>
        <c:crosses val="autoZero"/>
        <c:crossBetween val="between"/>
      </c:valAx>
    </c:plotArea>
    <c:legend>
      <c:legendPos val="r"/>
      <c:overlay val="0"/>
    </c:legend>
    <c:plotVisOnly val="1"/>
    <c:dispBlanksAs val="gap"/>
    <c:showDLblsOverMax val="0"/>
  </c:chart>
  <c:spPr>
    <a:ln>
      <a:solidFill>
        <a:schemeClr val="tx1"/>
      </a:solid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55555555555"/>
          <c:y val="0.23842592592592593"/>
          <c:w val="0.38888888888889078"/>
          <c:h val="0.64814814814814981"/>
        </c:manualLayout>
      </c:layout>
      <c:pieChart>
        <c:varyColors val="1"/>
        <c:ser>
          <c:idx val="0"/>
          <c:order val="0"/>
          <c:dPt>
            <c:idx val="1"/>
            <c:bubble3D val="0"/>
            <c:spPr>
              <a:solidFill>
                <a:srgbClr val="0070C0"/>
              </a:solidFill>
            </c:spPr>
          </c:dPt>
          <c:dPt>
            <c:idx val="2"/>
            <c:bubble3D val="0"/>
            <c:spPr>
              <a:solidFill>
                <a:schemeClr val="tx2">
                  <a:lumMod val="40000"/>
                  <a:lumOff val="60000"/>
                </a:schemeClr>
              </a:solidFill>
            </c:spPr>
          </c:dPt>
          <c:dLbls>
            <c:dLbl>
              <c:idx val="0"/>
              <c:layout>
                <c:manualLayout>
                  <c:x val="-9.4277559055118115E-2"/>
                  <c:y val="-0.11605752405949255"/>
                </c:manualLayout>
              </c:layout>
              <c:showLegendKey val="0"/>
              <c:showVal val="1"/>
              <c:showCatName val="1"/>
              <c:showSerName val="0"/>
              <c:showPercent val="1"/>
              <c:showBubbleSize val="0"/>
            </c:dLbl>
            <c:dLbl>
              <c:idx val="1"/>
              <c:layout>
                <c:manualLayout>
                  <c:x val="8.489741907261622E-2"/>
                  <c:y val="0.23179316127150773"/>
                </c:manualLayout>
              </c:layout>
              <c:showLegendKey val="0"/>
              <c:showVal val="1"/>
              <c:showCatName val="1"/>
              <c:showSerName val="0"/>
              <c:showPercent val="1"/>
              <c:showBubbleSize val="0"/>
            </c:dLbl>
            <c:dLbl>
              <c:idx val="2"/>
              <c:layout>
                <c:manualLayout>
                  <c:x val="-6.3727471566054239E-2"/>
                  <c:y val="0.1609897200349957"/>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Sheet1!$A$17:$A$19</c:f>
              <c:strCache>
                <c:ptCount val="3"/>
                <c:pt idx="0">
                  <c:v>I类</c:v>
                </c:pt>
                <c:pt idx="1">
                  <c:v>II类</c:v>
                </c:pt>
                <c:pt idx="2">
                  <c:v>III类</c:v>
                </c:pt>
              </c:strCache>
            </c:strRef>
          </c:cat>
          <c:val>
            <c:numRef>
              <c:f>Sheet1!$B$17:$B$19</c:f>
              <c:numCache>
                <c:formatCode>General</c:formatCode>
                <c:ptCount val="3"/>
                <c:pt idx="0">
                  <c:v>526</c:v>
                </c:pt>
                <c:pt idx="1">
                  <c:v>2622</c:v>
                </c:pt>
                <c:pt idx="2">
                  <c:v>4130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solidFill>
        <a:schemeClr val="tx1"/>
      </a:solid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6805555555555555"/>
          <c:y val="0.22916666666666666"/>
          <c:w val="0.39444444444444554"/>
          <c:h val="0.65740740740740866"/>
        </c:manualLayout>
      </c:layout>
      <c:pieChart>
        <c:varyColors val="1"/>
        <c:ser>
          <c:idx val="0"/>
          <c:order val="0"/>
          <c:dLbls>
            <c:dLbl>
              <c:idx val="0"/>
              <c:layout>
                <c:manualLayout>
                  <c:x val="-3.4163713910761152E-2"/>
                  <c:y val="-0.11363845144356971"/>
                </c:manualLayout>
              </c:layout>
              <c:showLegendKey val="0"/>
              <c:showVal val="1"/>
              <c:showCatName val="1"/>
              <c:showSerName val="0"/>
              <c:showPercent val="1"/>
              <c:showBubbleSize val="0"/>
            </c:dLbl>
            <c:dLbl>
              <c:idx val="1"/>
              <c:layout>
                <c:manualLayout>
                  <c:x val="0.12853171478565167"/>
                  <c:y val="-7.1511373578302716E-3"/>
                </c:manualLayout>
              </c:layout>
              <c:showLegendKey val="0"/>
              <c:showVal val="1"/>
              <c:showCatName val="1"/>
              <c:showSerName val="0"/>
              <c:showPercent val="1"/>
              <c:showBubbleSize val="0"/>
            </c:dLbl>
            <c:dLbl>
              <c:idx val="2"/>
              <c:layout>
                <c:manualLayout>
                  <c:x val="-7.9734580052493675E-2"/>
                  <c:y val="-1.7920676582093904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Sheet2!$A$1:$A$3</c:f>
              <c:strCache>
                <c:ptCount val="3"/>
                <c:pt idx="0">
                  <c:v>I类</c:v>
                </c:pt>
                <c:pt idx="1">
                  <c:v>II类</c:v>
                </c:pt>
                <c:pt idx="2">
                  <c:v>III类</c:v>
                </c:pt>
              </c:strCache>
            </c:strRef>
          </c:cat>
          <c:val>
            <c:numRef>
              <c:f>Sheet2!$B$1:$B$3</c:f>
              <c:numCache>
                <c:formatCode>General</c:formatCode>
                <c:ptCount val="3"/>
                <c:pt idx="0">
                  <c:v>227</c:v>
                </c:pt>
                <c:pt idx="1">
                  <c:v>1555</c:v>
                </c:pt>
                <c:pt idx="2">
                  <c:v>3648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solidFill>
        <a:schemeClr val="tx1"/>
      </a:solid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55555555555"/>
          <c:y val="0.19675925925925927"/>
          <c:w val="0.41388888888889019"/>
          <c:h val="0.68981481481481599"/>
        </c:manualLayout>
      </c:layout>
      <c:pieChart>
        <c:varyColors val="1"/>
        <c:ser>
          <c:idx val="0"/>
          <c:order val="0"/>
          <c:dPt>
            <c:idx val="0"/>
            <c:bubble3D val="0"/>
            <c:spPr>
              <a:solidFill>
                <a:srgbClr val="0070C0"/>
              </a:solidFill>
            </c:spPr>
          </c:dPt>
          <c:dPt>
            <c:idx val="1"/>
            <c:bubble3D val="0"/>
            <c:spPr>
              <a:solidFill>
                <a:srgbClr val="4BACC6">
                  <a:lumMod val="20000"/>
                  <a:lumOff val="80000"/>
                </a:srgbClr>
              </a:solidFill>
            </c:spPr>
          </c:dPt>
          <c:dPt>
            <c:idx val="2"/>
            <c:bubble3D val="0"/>
            <c:spPr>
              <a:solidFill>
                <a:schemeClr val="tx2">
                  <a:lumMod val="40000"/>
                  <a:lumOff val="60000"/>
                </a:schemeClr>
              </a:solidFill>
            </c:spPr>
          </c:dPt>
          <c:dLbls>
            <c:dLbl>
              <c:idx val="0"/>
              <c:layout>
                <c:manualLayout>
                  <c:x val="1.4863517060367497E-2"/>
                  <c:y val="-7.754629629629646E-2"/>
                </c:manualLayout>
              </c:layout>
              <c:showLegendKey val="0"/>
              <c:showVal val="1"/>
              <c:showCatName val="1"/>
              <c:showSerName val="0"/>
              <c:showPercent val="1"/>
              <c:showBubbleSize val="0"/>
            </c:dLbl>
            <c:dLbl>
              <c:idx val="1"/>
              <c:layout>
                <c:manualLayout>
                  <c:x val="0.12433650481189852"/>
                  <c:y val="1.278689122193062E-2"/>
                </c:manualLayout>
              </c:layout>
              <c:showLegendKey val="0"/>
              <c:showVal val="1"/>
              <c:showCatName val="1"/>
              <c:showSerName val="0"/>
              <c:showPercent val="1"/>
              <c:showBubbleSize val="0"/>
            </c:dLbl>
            <c:dLbl>
              <c:idx val="2"/>
              <c:layout>
                <c:manualLayout>
                  <c:x val="-0.14812182852143491"/>
                  <c:y val="-9.9457203266258398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Sheet1!$C$68:$C$70</c:f>
              <c:strCache>
                <c:ptCount val="3"/>
                <c:pt idx="0">
                  <c:v>家庭</c:v>
                </c:pt>
                <c:pt idx="1">
                  <c:v>其他</c:v>
                </c:pt>
                <c:pt idx="2">
                  <c:v>医疗机构</c:v>
                </c:pt>
              </c:strCache>
            </c:strRef>
          </c:cat>
          <c:val>
            <c:numRef>
              <c:f>Sheet1!$D$68:$D$70</c:f>
              <c:numCache>
                <c:formatCode>General</c:formatCode>
                <c:ptCount val="3"/>
                <c:pt idx="0">
                  <c:v>797</c:v>
                </c:pt>
                <c:pt idx="1">
                  <c:v>212</c:v>
                </c:pt>
                <c:pt idx="2">
                  <c:v>6269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solidFill>
        <a:schemeClr val="tx1"/>
      </a:solid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61E26-DEA7-423F-8766-A5D1BDE1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564</Words>
  <Characters>3220</Characters>
  <Application>Microsoft Office Word</Application>
  <DocSecurity>0</DocSecurity>
  <Lines>26</Lines>
  <Paragraphs>7</Paragraphs>
  <ScaleCrop>false</ScaleCrop>
  <Company>Lenovo</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adrzhlx</dc:creator>
  <cp:lastModifiedBy>wuyanna</cp:lastModifiedBy>
  <cp:revision>11</cp:revision>
  <dcterms:created xsi:type="dcterms:W3CDTF">2018-02-22T04:35:00Z</dcterms:created>
  <dcterms:modified xsi:type="dcterms:W3CDTF">2018-04-13T01:46:00Z</dcterms:modified>
</cp:coreProperties>
</file>